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E2" w:rsidRPr="00A834E2" w:rsidRDefault="00A834E2" w:rsidP="00A834E2">
      <w:pPr>
        <w:jc w:val="center"/>
      </w:pPr>
      <w:r w:rsidRPr="00A834E2">
        <w:rPr>
          <w:noProof/>
          <w:sz w:val="24"/>
          <w:szCs w:val="24"/>
        </w:rPr>
        <w:drawing>
          <wp:inline distT="0" distB="0" distL="0" distR="0" wp14:anchorId="407AA46E" wp14:editId="3C02F5CA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E2" w:rsidRPr="00A834E2" w:rsidRDefault="00A834E2" w:rsidP="00A834E2">
      <w:pPr>
        <w:jc w:val="center"/>
      </w:pPr>
      <w:r w:rsidRPr="00A834E2">
        <w:t>Российская Федерация</w:t>
      </w:r>
    </w:p>
    <w:p w:rsidR="00A834E2" w:rsidRPr="00A834E2" w:rsidRDefault="00A834E2" w:rsidP="00A834E2">
      <w:pPr>
        <w:jc w:val="center"/>
      </w:pPr>
      <w:r w:rsidRPr="00A834E2">
        <w:t>Новгородская область</w:t>
      </w:r>
    </w:p>
    <w:p w:rsidR="00A834E2" w:rsidRPr="00A834E2" w:rsidRDefault="00A834E2" w:rsidP="00A834E2">
      <w:pPr>
        <w:jc w:val="center"/>
      </w:pPr>
    </w:p>
    <w:p w:rsidR="00A834E2" w:rsidRPr="00A834E2" w:rsidRDefault="00A834E2" w:rsidP="00A834E2">
      <w:pPr>
        <w:jc w:val="center"/>
      </w:pPr>
      <w:r w:rsidRPr="00A834E2">
        <w:t>ДУМА ВОЛОТОВСКОГО МУНИЦИПАЛЬНОГО ОКРУГА</w:t>
      </w:r>
    </w:p>
    <w:p w:rsidR="00A834E2" w:rsidRPr="00A834E2" w:rsidRDefault="00A834E2" w:rsidP="00A834E2">
      <w:pPr>
        <w:jc w:val="center"/>
      </w:pPr>
    </w:p>
    <w:p w:rsidR="00A834E2" w:rsidRPr="00A834E2" w:rsidRDefault="00A834E2" w:rsidP="00A834E2">
      <w:pPr>
        <w:jc w:val="center"/>
        <w:rPr>
          <w:b/>
        </w:rPr>
      </w:pPr>
      <w:r w:rsidRPr="00A834E2">
        <w:rPr>
          <w:b/>
        </w:rPr>
        <w:t>Р Е Ш Е Н И Е</w:t>
      </w:r>
    </w:p>
    <w:p w:rsidR="00A834E2" w:rsidRPr="00A834E2" w:rsidRDefault="00A834E2" w:rsidP="00A834E2">
      <w:pPr>
        <w:jc w:val="center"/>
      </w:pPr>
    </w:p>
    <w:p w:rsidR="00A834E2" w:rsidRPr="00A834E2" w:rsidRDefault="008F1D96" w:rsidP="00A834E2">
      <w:pPr>
        <w:keepNext/>
        <w:keepLines/>
        <w:tabs>
          <w:tab w:val="left" w:pos="2268"/>
        </w:tabs>
        <w:jc w:val="both"/>
      </w:pPr>
      <w:r>
        <w:t>от 30</w:t>
      </w:r>
      <w:r w:rsidR="00A834E2">
        <w:t>.05.2025  № 528</w:t>
      </w:r>
    </w:p>
    <w:p w:rsidR="00A834E2" w:rsidRPr="00A834E2" w:rsidRDefault="00A834E2" w:rsidP="00A834E2">
      <w:pPr>
        <w:keepNext/>
        <w:keepLines/>
        <w:jc w:val="both"/>
      </w:pPr>
      <w:r w:rsidRPr="00A834E2">
        <w:t>п. Волот</w:t>
      </w:r>
    </w:p>
    <w:p w:rsidR="003A057E" w:rsidRDefault="003A057E" w:rsidP="00D55930">
      <w:pPr>
        <w:tabs>
          <w:tab w:val="left" w:pos="4395"/>
        </w:tabs>
        <w:ind w:left="74" w:right="74"/>
      </w:pPr>
    </w:p>
    <w:p w:rsidR="00327CF7" w:rsidRDefault="00327CF7" w:rsidP="00D55930">
      <w:pPr>
        <w:tabs>
          <w:tab w:val="left" w:pos="4395"/>
        </w:tabs>
        <w:ind w:left="74" w:right="74"/>
      </w:pPr>
    </w:p>
    <w:tbl>
      <w:tblPr>
        <w:tblW w:w="10073" w:type="dxa"/>
        <w:tblInd w:w="-106" w:type="dxa"/>
        <w:tblLook w:val="01E0" w:firstRow="1" w:lastRow="1" w:firstColumn="1" w:lastColumn="1" w:noHBand="0" w:noVBand="0"/>
      </w:tblPr>
      <w:tblGrid>
        <w:gridCol w:w="4750"/>
        <w:gridCol w:w="5323"/>
      </w:tblGrid>
      <w:tr w:rsidR="00D55930" w:rsidRPr="00D55930" w:rsidTr="00E16B6A">
        <w:tc>
          <w:tcPr>
            <w:tcW w:w="4750" w:type="dxa"/>
          </w:tcPr>
          <w:p w:rsidR="00D55930" w:rsidRPr="00D55930" w:rsidRDefault="00D55930" w:rsidP="00D55930">
            <w:pPr>
              <w:jc w:val="both"/>
            </w:pPr>
            <w:r w:rsidRPr="00D55930">
      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2025 годы»</w:t>
            </w:r>
          </w:p>
        </w:tc>
        <w:tc>
          <w:tcPr>
            <w:tcW w:w="5323" w:type="dxa"/>
          </w:tcPr>
          <w:p w:rsidR="00D55930" w:rsidRPr="00D55930" w:rsidRDefault="00D55930" w:rsidP="00D55930">
            <w:pPr>
              <w:jc w:val="both"/>
            </w:pPr>
          </w:p>
        </w:tc>
      </w:tr>
    </w:tbl>
    <w:p w:rsidR="00D55930" w:rsidRPr="00D55930" w:rsidRDefault="00D55930" w:rsidP="00D55930">
      <w:pPr>
        <w:jc w:val="both"/>
        <w:rPr>
          <w:b/>
          <w:bCs/>
        </w:rPr>
      </w:pPr>
    </w:p>
    <w:p w:rsidR="00D55930" w:rsidRPr="00D55930" w:rsidRDefault="00D55930" w:rsidP="00D55930">
      <w:pPr>
        <w:jc w:val="both"/>
        <w:rPr>
          <w:b/>
          <w:bCs/>
        </w:rPr>
      </w:pPr>
    </w:p>
    <w:p w:rsidR="00D55930" w:rsidRPr="00D55930" w:rsidRDefault="00D55930" w:rsidP="00D55930">
      <w:pPr>
        <w:ind w:firstLine="567"/>
        <w:jc w:val="both"/>
      </w:pPr>
      <w:r w:rsidRPr="00D55930">
        <w:t>В соответс</w:t>
      </w:r>
      <w:r>
        <w:t>твии с Федеральным законом от 06.10.</w:t>
      </w:r>
      <w:r w:rsidRPr="00D55930">
        <w:t>2003 №</w:t>
      </w:r>
      <w:r>
        <w:t xml:space="preserve"> </w:t>
      </w:r>
      <w:r w:rsidRPr="00D55930">
        <w:t>131 – 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55930" w:rsidRPr="00D55930" w:rsidRDefault="00D55930" w:rsidP="00D55930">
      <w:pPr>
        <w:ind w:firstLine="567"/>
        <w:jc w:val="both"/>
      </w:pPr>
      <w:r w:rsidRPr="00D55930">
        <w:t>Дума Волотовского муниципального округа</w:t>
      </w:r>
    </w:p>
    <w:p w:rsidR="00D55930" w:rsidRPr="00D55930" w:rsidRDefault="00D55930" w:rsidP="00D55930">
      <w:pPr>
        <w:ind w:firstLine="567"/>
        <w:jc w:val="both"/>
        <w:rPr>
          <w:b/>
          <w:bCs/>
        </w:rPr>
      </w:pPr>
      <w:r w:rsidRPr="00D55930">
        <w:rPr>
          <w:b/>
          <w:bCs/>
        </w:rPr>
        <w:t>РЕШИЛА:</w:t>
      </w:r>
    </w:p>
    <w:p w:rsidR="00D55930" w:rsidRPr="00D55930" w:rsidRDefault="00D55930" w:rsidP="00D55930">
      <w:pPr>
        <w:ind w:firstLine="567"/>
        <w:jc w:val="both"/>
      </w:pPr>
      <w:r w:rsidRPr="00D55930">
        <w:t xml:space="preserve">Утвердить прилагаемый </w:t>
      </w:r>
      <w:r w:rsidR="002F5283">
        <w:t xml:space="preserve">отчет </w:t>
      </w:r>
      <w:r w:rsidRPr="00D55930">
        <w:t>отдела культуры и архивного дела комитета по управлению социальным комплексом Администрации Волотовского муниципального округа о ходе выполнения мероприятий государственной программы Новгородской области «Развитие культуры и архивного дела Новгородской обл</w:t>
      </w:r>
      <w:bookmarkStart w:id="0" w:name="_GoBack"/>
      <w:bookmarkEnd w:id="0"/>
      <w:r w:rsidRPr="00D55930">
        <w:t>асти на 2019 – 2025 годы»</w:t>
      </w:r>
      <w:r w:rsidR="002F5283">
        <w:t>.</w:t>
      </w:r>
    </w:p>
    <w:p w:rsidR="003A057E" w:rsidRDefault="003A057E" w:rsidP="00D55930">
      <w:pPr>
        <w:jc w:val="both"/>
        <w:rPr>
          <w:bCs/>
        </w:rPr>
      </w:pPr>
    </w:p>
    <w:p w:rsidR="003A057E" w:rsidRDefault="003A057E" w:rsidP="00D55930"/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671A0" w:rsidRPr="00CD601A" w:rsidTr="00DE4818">
        <w:tc>
          <w:tcPr>
            <w:tcW w:w="4785" w:type="dxa"/>
          </w:tcPr>
          <w:p w:rsidR="00A671A0" w:rsidRPr="00CD601A" w:rsidRDefault="00CD601A" w:rsidP="00D55930">
            <w:pPr>
              <w:autoSpaceDN w:val="0"/>
            </w:pPr>
            <w:r>
              <w:t xml:space="preserve">Глава      </w:t>
            </w:r>
            <w:r w:rsidR="00A671A0" w:rsidRPr="00CD601A">
              <w:t xml:space="preserve"> Волотовского </w:t>
            </w:r>
          </w:p>
          <w:p w:rsidR="00A671A0" w:rsidRPr="00CD601A" w:rsidRDefault="00A671A0" w:rsidP="00D55930">
            <w:pPr>
              <w:autoSpaceDN w:val="0"/>
            </w:pPr>
            <w:r w:rsidRPr="00CD601A">
              <w:t xml:space="preserve">муниципального </w:t>
            </w:r>
            <w:r w:rsidR="00A176F2" w:rsidRPr="00CD601A">
              <w:t>округа</w:t>
            </w:r>
          </w:p>
          <w:p w:rsidR="00A671A0" w:rsidRPr="00CD601A" w:rsidRDefault="00A671A0" w:rsidP="00D55930">
            <w:pPr>
              <w:autoSpaceDN w:val="0"/>
            </w:pPr>
            <w:r w:rsidRPr="00CD601A">
              <w:t xml:space="preserve">                                   А.И. Лыжов</w:t>
            </w:r>
          </w:p>
          <w:p w:rsidR="00A671A0" w:rsidRPr="00CD601A" w:rsidRDefault="00A671A0" w:rsidP="00D55930">
            <w:pPr>
              <w:autoSpaceDN w:val="0"/>
            </w:pPr>
          </w:p>
        </w:tc>
        <w:tc>
          <w:tcPr>
            <w:tcW w:w="4785" w:type="dxa"/>
          </w:tcPr>
          <w:p w:rsidR="00A671A0" w:rsidRPr="00CD601A" w:rsidRDefault="00A671A0" w:rsidP="00D55930">
            <w:pPr>
              <w:autoSpaceDN w:val="0"/>
            </w:pPr>
            <w:r w:rsidRPr="00CD601A">
              <w:t xml:space="preserve">Председатель Думы Волотовского муниципального </w:t>
            </w:r>
            <w:r w:rsidR="00A176F2" w:rsidRPr="00CD601A">
              <w:t>округа</w:t>
            </w:r>
          </w:p>
          <w:p w:rsidR="00A671A0" w:rsidRPr="00CD601A" w:rsidRDefault="00A671A0" w:rsidP="00D55930">
            <w:pPr>
              <w:autoSpaceDN w:val="0"/>
            </w:pPr>
            <w:r w:rsidRPr="00CD601A">
              <w:t xml:space="preserve">                                       Г.А.</w:t>
            </w:r>
            <w:r w:rsidR="00A834E2">
              <w:t xml:space="preserve"> </w:t>
            </w:r>
            <w:r w:rsidRPr="00CD601A">
              <w:t xml:space="preserve">Лебедева </w:t>
            </w:r>
          </w:p>
          <w:p w:rsidR="00A671A0" w:rsidRPr="00CD601A" w:rsidRDefault="00A671A0" w:rsidP="00D55930">
            <w:pPr>
              <w:autoSpaceDN w:val="0"/>
            </w:pPr>
          </w:p>
        </w:tc>
      </w:tr>
    </w:tbl>
    <w:p w:rsidR="003A057E" w:rsidRDefault="003A057E" w:rsidP="00D55930">
      <w:pPr>
        <w:rPr>
          <w:szCs w:val="24"/>
        </w:rPr>
      </w:pPr>
    </w:p>
    <w:p w:rsidR="00A671A0" w:rsidRDefault="00A671A0" w:rsidP="00D55930">
      <w:pPr>
        <w:rPr>
          <w:szCs w:val="24"/>
        </w:rPr>
      </w:pPr>
    </w:p>
    <w:p w:rsidR="008F1D96" w:rsidRDefault="008F1D96" w:rsidP="00D55930">
      <w:pPr>
        <w:rPr>
          <w:szCs w:val="24"/>
        </w:rPr>
      </w:pPr>
    </w:p>
    <w:p w:rsidR="008F1D96" w:rsidRDefault="008F1D96" w:rsidP="00D55930">
      <w:pPr>
        <w:rPr>
          <w:szCs w:val="24"/>
        </w:rPr>
      </w:pPr>
    </w:p>
    <w:p w:rsidR="008F1D96" w:rsidRDefault="008F1D96" w:rsidP="00D55930">
      <w:pPr>
        <w:rPr>
          <w:szCs w:val="24"/>
        </w:rPr>
      </w:pPr>
    </w:p>
    <w:p w:rsidR="00CD601A" w:rsidRPr="00CD601A" w:rsidRDefault="00CD601A" w:rsidP="00D55930">
      <w:pPr>
        <w:jc w:val="right"/>
        <w:rPr>
          <w:sz w:val="24"/>
        </w:rPr>
      </w:pPr>
      <w:r w:rsidRPr="00CD601A">
        <w:rPr>
          <w:sz w:val="24"/>
        </w:rPr>
        <w:lastRenderedPageBreak/>
        <w:t>УТВЕРЖДЕН</w:t>
      </w:r>
    </w:p>
    <w:p w:rsidR="00CD601A" w:rsidRPr="00CD601A" w:rsidRDefault="00CD601A" w:rsidP="00D55930">
      <w:pPr>
        <w:jc w:val="right"/>
        <w:rPr>
          <w:sz w:val="24"/>
        </w:rPr>
      </w:pPr>
      <w:r w:rsidRPr="00CD601A">
        <w:rPr>
          <w:sz w:val="24"/>
        </w:rPr>
        <w:t>решением Думы Волотовского</w:t>
      </w:r>
    </w:p>
    <w:p w:rsidR="00CD601A" w:rsidRPr="00CD601A" w:rsidRDefault="00CD601A" w:rsidP="00D55930">
      <w:pPr>
        <w:jc w:val="right"/>
        <w:rPr>
          <w:sz w:val="24"/>
        </w:rPr>
      </w:pPr>
      <w:r w:rsidRPr="00CD601A">
        <w:rPr>
          <w:sz w:val="24"/>
        </w:rPr>
        <w:t>муниципального округа</w:t>
      </w:r>
    </w:p>
    <w:p w:rsidR="00CD601A" w:rsidRPr="00CD601A" w:rsidRDefault="00A834E2" w:rsidP="00D55930">
      <w:pPr>
        <w:jc w:val="right"/>
        <w:rPr>
          <w:sz w:val="24"/>
        </w:rPr>
      </w:pPr>
      <w:r>
        <w:rPr>
          <w:sz w:val="24"/>
        </w:rPr>
        <w:t>от 30.05.2025</w:t>
      </w:r>
      <w:r w:rsidR="00CD601A" w:rsidRPr="00CD601A">
        <w:rPr>
          <w:sz w:val="24"/>
        </w:rPr>
        <w:t xml:space="preserve">  № </w:t>
      </w:r>
      <w:r>
        <w:rPr>
          <w:sz w:val="24"/>
        </w:rPr>
        <w:t>528</w:t>
      </w:r>
    </w:p>
    <w:p w:rsidR="00A671A0" w:rsidRDefault="00A671A0" w:rsidP="00D55930">
      <w:pPr>
        <w:rPr>
          <w:szCs w:val="24"/>
        </w:rPr>
      </w:pPr>
    </w:p>
    <w:p w:rsidR="00D55930" w:rsidRPr="00D55930" w:rsidRDefault="00D55930" w:rsidP="00D55930">
      <w:pPr>
        <w:jc w:val="center"/>
        <w:rPr>
          <w:b/>
          <w:bCs/>
        </w:rPr>
      </w:pPr>
      <w:r w:rsidRPr="00D55930">
        <w:rPr>
          <w:b/>
          <w:bCs/>
        </w:rPr>
        <w:t>Отчет</w:t>
      </w:r>
    </w:p>
    <w:p w:rsidR="00D55930" w:rsidRPr="00D55930" w:rsidRDefault="00D55930" w:rsidP="00D55930">
      <w:pPr>
        <w:jc w:val="center"/>
        <w:rPr>
          <w:b/>
          <w:bCs/>
        </w:rPr>
      </w:pPr>
      <w:r w:rsidRPr="00D55930">
        <w:rPr>
          <w:b/>
          <w:bCs/>
        </w:rPr>
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2025 годы» за 2024 год.</w:t>
      </w:r>
    </w:p>
    <w:p w:rsidR="00D55930" w:rsidRPr="00D55930" w:rsidRDefault="00D55930" w:rsidP="00D55930">
      <w:pPr>
        <w:jc w:val="center"/>
        <w:rPr>
          <w:b/>
          <w:bCs/>
        </w:rPr>
      </w:pPr>
    </w:p>
    <w:p w:rsidR="00D55930" w:rsidRPr="00D55930" w:rsidRDefault="00D55930" w:rsidP="00D55930">
      <w:pPr>
        <w:ind w:firstLine="709"/>
        <w:jc w:val="both"/>
        <w:rPr>
          <w:b/>
          <w:bCs/>
          <w:sz w:val="24"/>
          <w:szCs w:val="24"/>
        </w:rPr>
      </w:pPr>
      <w:r w:rsidRPr="00D55930">
        <w:rPr>
          <w:rFonts w:ascii="Times New Roman CYR" w:hAnsi="Times New Roman CYR" w:cs="Times New Roman CYR"/>
        </w:rPr>
        <w:t xml:space="preserve">Развитие сферы культуры </w:t>
      </w:r>
      <w:r>
        <w:rPr>
          <w:rFonts w:ascii="Times New Roman CYR" w:hAnsi="Times New Roman CYR" w:cs="Times New Roman CYR"/>
        </w:rPr>
        <w:t xml:space="preserve">Волотовского </w:t>
      </w:r>
      <w:r w:rsidRPr="00D55930">
        <w:rPr>
          <w:rFonts w:ascii="Times New Roman CYR" w:hAnsi="Times New Roman CYR" w:cs="Times New Roman CYR"/>
        </w:rPr>
        <w:t>муниципального округа осуществляется в</w:t>
      </w:r>
      <w:r>
        <w:rPr>
          <w:rFonts w:ascii="Times New Roman CYR" w:hAnsi="Times New Roman CYR" w:cs="Times New Roman CYR"/>
        </w:rPr>
        <w:t xml:space="preserve"> соответствии с государственной</w:t>
      </w:r>
      <w:r w:rsidRPr="00D55930">
        <w:rPr>
          <w:rFonts w:ascii="Times New Roman CYR" w:hAnsi="Times New Roman CYR" w:cs="Times New Roman CYR"/>
        </w:rPr>
        <w:t xml:space="preserve"> программой </w:t>
      </w:r>
      <w:r w:rsidRPr="00D55930">
        <w:rPr>
          <w:bCs/>
        </w:rPr>
        <w:t>«Развитие культуры и архивного дела Новгородской области на 2019-2025 годы».</w:t>
      </w:r>
    </w:p>
    <w:p w:rsid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eastAsia="Calibri"/>
        </w:rPr>
        <w:t xml:space="preserve">Сеть учреждений культуры насчитывает 3 </w:t>
      </w:r>
      <w:r w:rsidRPr="00D55930">
        <w:rPr>
          <w:rFonts w:cs="Tahoma"/>
          <w:kern w:val="3"/>
        </w:rPr>
        <w:t xml:space="preserve">учреждения со статусом юридического лица (18 сетевых единиц), из них: </w:t>
      </w:r>
      <w:bookmarkStart w:id="1" w:name="_Hlk26968035"/>
    </w:p>
    <w:p w:rsid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 xml:space="preserve">муниципальное бюджетное учреждение </w:t>
      </w:r>
      <w:bookmarkEnd w:id="1"/>
      <w:r w:rsidRPr="00D55930">
        <w:rPr>
          <w:rFonts w:cs="Tahoma"/>
          <w:kern w:val="3"/>
        </w:rPr>
        <w:t>дополнительного образования «Волотовская детская школа искусств» (1 сетевая единица),</w:t>
      </w:r>
    </w:p>
    <w:p w:rsid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 xml:space="preserve">муниципальное бюджетное учреждение культуры «Волотовская межпоселенческая централизованная библиотечная система» (9 сетевых единиц), 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>муниципальное бюджетное учреждение культуры «Волотовский межпоселенческий социально-культурный комплекс» (8 сетевых единиц).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 xml:space="preserve">Среднесписочная численность работников списочного состава учреждений культуры </w:t>
      </w:r>
      <w:bookmarkStart w:id="2" w:name="_Hlk27059130"/>
      <w:r w:rsidRPr="00D55930">
        <w:rPr>
          <w:rFonts w:cs="Tahoma"/>
          <w:kern w:val="3"/>
        </w:rPr>
        <w:t>на 01.01.2025</w:t>
      </w:r>
      <w:r>
        <w:rPr>
          <w:rFonts w:cs="Tahoma"/>
          <w:kern w:val="3"/>
        </w:rPr>
        <w:t>г.</w:t>
      </w:r>
      <w:r w:rsidRPr="00D55930">
        <w:rPr>
          <w:rFonts w:cs="Tahoma"/>
          <w:kern w:val="3"/>
        </w:rPr>
        <w:t xml:space="preserve"> </w:t>
      </w:r>
      <w:bookmarkEnd w:id="2"/>
      <w:r w:rsidRPr="00D55930">
        <w:rPr>
          <w:rFonts w:cs="Tahoma"/>
          <w:kern w:val="3"/>
        </w:rPr>
        <w:t>составляет</w:t>
      </w:r>
      <w:r w:rsidRPr="00D55930">
        <w:rPr>
          <w:rFonts w:cs="Tahoma"/>
          <w:color w:val="FF0000"/>
          <w:kern w:val="3"/>
        </w:rPr>
        <w:t xml:space="preserve"> </w:t>
      </w:r>
      <w:r w:rsidRPr="00D55930">
        <w:rPr>
          <w:rFonts w:cs="Tahoma"/>
          <w:kern w:val="3"/>
        </w:rPr>
        <w:t>27,8 ед.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>Среднесписочная численность работников списочного состава учреждения дополнительного образования в сфере культуры на 01.01.2025</w:t>
      </w:r>
      <w:r>
        <w:rPr>
          <w:rFonts w:cs="Tahoma"/>
          <w:kern w:val="3"/>
        </w:rPr>
        <w:t>г.</w:t>
      </w:r>
      <w:r w:rsidRPr="00D55930">
        <w:rPr>
          <w:rFonts w:cs="Tahoma"/>
          <w:kern w:val="3"/>
        </w:rPr>
        <w:t xml:space="preserve"> составляет</w:t>
      </w:r>
      <w:r w:rsidRPr="00D55930">
        <w:rPr>
          <w:rFonts w:cs="Tahoma"/>
          <w:color w:val="FF0000"/>
          <w:kern w:val="3"/>
        </w:rPr>
        <w:t xml:space="preserve"> </w:t>
      </w:r>
      <w:r w:rsidRPr="00D55930">
        <w:rPr>
          <w:rFonts w:cs="Tahoma"/>
          <w:kern w:val="3"/>
        </w:rPr>
        <w:t>6,5 ед. (из них 5,0 ед. – педагогический состав).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>Средняя заработная пла</w:t>
      </w:r>
      <w:r>
        <w:rPr>
          <w:rFonts w:cs="Tahoma"/>
          <w:kern w:val="3"/>
        </w:rPr>
        <w:t xml:space="preserve">та работников </w:t>
      </w:r>
      <w:r w:rsidRPr="00D55930">
        <w:rPr>
          <w:rFonts w:cs="Tahoma"/>
          <w:kern w:val="3"/>
        </w:rPr>
        <w:t>учреждений культуры на 01.01.2025</w:t>
      </w:r>
      <w:r>
        <w:rPr>
          <w:rFonts w:cs="Tahoma"/>
          <w:kern w:val="3"/>
        </w:rPr>
        <w:t>г.</w:t>
      </w:r>
      <w:r w:rsidRPr="00D55930">
        <w:rPr>
          <w:rFonts w:cs="Tahoma"/>
          <w:kern w:val="3"/>
        </w:rPr>
        <w:t xml:space="preserve"> составляет 47725,43 руб</w:t>
      </w:r>
      <w:r>
        <w:rPr>
          <w:rFonts w:cs="Tahoma"/>
          <w:kern w:val="3"/>
        </w:rPr>
        <w:t xml:space="preserve">. </w:t>
      </w:r>
      <w:r w:rsidRPr="00D55930">
        <w:rPr>
          <w:rFonts w:cs="Tahoma"/>
          <w:kern w:val="3"/>
        </w:rPr>
        <w:t>при среднесп</w:t>
      </w:r>
      <w:r>
        <w:rPr>
          <w:rFonts w:cs="Tahoma"/>
          <w:kern w:val="3"/>
        </w:rPr>
        <w:t>исочной численности 27,8 единиц</w:t>
      </w:r>
      <w:r w:rsidRPr="00D55930">
        <w:rPr>
          <w:rFonts w:cs="Tahoma"/>
          <w:kern w:val="3"/>
        </w:rPr>
        <w:t xml:space="preserve">, при целевом показателе 47334,1 рублей; за 1 кв. 2025 года средняя заработная плата составила – 47589,83 рублей при показателе – 47334,1 рублей. 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 xml:space="preserve">Средняя заработная плата педагогических работников списочного состава учреждений дополнительного образования в сфере культуры составляет </w:t>
      </w:r>
      <w:r w:rsidRPr="00D55930">
        <w:rPr>
          <w:rFonts w:cs="Tahoma"/>
          <w:bCs/>
          <w:kern w:val="3"/>
        </w:rPr>
        <w:t>40076,67</w:t>
      </w:r>
      <w:r w:rsidRPr="00D55930">
        <w:rPr>
          <w:rFonts w:cs="Tahoma"/>
          <w:bCs/>
          <w:color w:val="FF0000"/>
          <w:kern w:val="3"/>
        </w:rPr>
        <w:t xml:space="preserve"> </w:t>
      </w:r>
      <w:r w:rsidRPr="00D55930">
        <w:rPr>
          <w:rFonts w:cs="Tahoma"/>
          <w:kern w:val="3"/>
        </w:rPr>
        <w:t>руб. при целевом показателе 40076,6 руб., за 1 кв. 2025 года – 40076,67 рублей.</w:t>
      </w:r>
    </w:p>
    <w:p w:rsidR="00D55930" w:rsidRPr="00D55930" w:rsidRDefault="00D55930" w:rsidP="00D55930">
      <w:pPr>
        <w:ind w:firstLine="709"/>
        <w:jc w:val="both"/>
      </w:pPr>
      <w:r w:rsidRPr="00D55930">
        <w:t>Численность работников списочного состава учреждений культуры за 2024 год составила 41 человек.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>В 2024 году бюджету Волотовского муниципального округа из областного бюджета в рамках государственной программы Новгородской области «Развитие культуры и архивного дела Новгородской области на 2019-2024 годы», утвержденной постановлением Правительства Новгородской области от 12.07.2019 № 271, предоставлены:</w:t>
      </w:r>
    </w:p>
    <w:p w:rsidR="00D55930" w:rsidRPr="00D55930" w:rsidRDefault="00D55930" w:rsidP="00D55930">
      <w:pPr>
        <w:ind w:firstLine="709"/>
        <w:jc w:val="both"/>
      </w:pPr>
      <w:r w:rsidRPr="00D55930">
        <w:t>- субсидия на обеспечение развития и укреплени</w:t>
      </w:r>
      <w:r>
        <w:t xml:space="preserve">е материально-технической базы </w:t>
      </w:r>
      <w:r w:rsidRPr="00D55930">
        <w:t xml:space="preserve">домов культуры в населенных пунктах с числом жителей до </w:t>
      </w:r>
      <w:r w:rsidRPr="00D55930">
        <w:lastRenderedPageBreak/>
        <w:t xml:space="preserve">50 тыс. человек – 346,4 </w:t>
      </w:r>
      <w:r>
        <w:t xml:space="preserve">тыс. руб., в том числе </w:t>
      </w:r>
      <w:r w:rsidRPr="00D55930">
        <w:t>сред</w:t>
      </w:r>
      <w:r>
        <w:t xml:space="preserve">ства федерального бюджета </w:t>
      </w:r>
      <w:r w:rsidRPr="00D55930">
        <w:t>– 266,6 тыс. руб.;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>В рамках федерального партийного проекта «Культура малой Роди</w:t>
      </w:r>
      <w:r>
        <w:rPr>
          <w:rFonts w:cs="Tahoma"/>
          <w:kern w:val="3"/>
        </w:rPr>
        <w:t>ны» в Верё</w:t>
      </w:r>
      <w:r w:rsidRPr="00D55930">
        <w:rPr>
          <w:rFonts w:cs="Tahoma"/>
          <w:kern w:val="3"/>
        </w:rPr>
        <w:t xml:space="preserve">хновском СДК отремонтировали полы. В 2023 году в рамках данного проекта </w:t>
      </w:r>
      <w:r>
        <w:rPr>
          <w:rFonts w:cs="Tahoma"/>
          <w:kern w:val="3"/>
        </w:rPr>
        <w:t>в этом же СДК были замене</w:t>
      </w:r>
      <w:r w:rsidRPr="00D55930">
        <w:rPr>
          <w:rFonts w:cs="Tahoma"/>
          <w:kern w:val="3"/>
        </w:rPr>
        <w:t>ны окна и входная дверь, приобретены: микщерный пульт и радиосистема.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>
        <w:rPr>
          <w:rFonts w:cs="Tahoma"/>
          <w:kern w:val="3"/>
        </w:rPr>
        <w:t xml:space="preserve">В 2024 году была подана </w:t>
      </w:r>
      <w:r w:rsidRPr="00D55930">
        <w:rPr>
          <w:rFonts w:cs="Tahoma"/>
          <w:kern w:val="3"/>
        </w:rPr>
        <w:t>и одобрена заявка на проведение капитального ремонта Районного дома культуры в рамках федерального проекта «Семейные ценности и инфраструктура культуры» национального проекта «Семья». Денежные средства в размере 49,5 млн. рублей выделены на два года (2025 и 2026).</w:t>
      </w:r>
    </w:p>
    <w:p w:rsidR="00D55930" w:rsidRPr="00D55930" w:rsidRDefault="00517489" w:rsidP="00D55930">
      <w:pPr>
        <w:widowControl w:val="0"/>
        <w:suppressAutoHyphens/>
        <w:autoSpaceDN w:val="0"/>
        <w:ind w:firstLine="709"/>
        <w:jc w:val="both"/>
        <w:rPr>
          <w:rFonts w:cs="Tahoma"/>
          <w:kern w:val="3"/>
        </w:rPr>
      </w:pPr>
      <w:r>
        <w:rPr>
          <w:rFonts w:cs="Tahoma"/>
          <w:kern w:val="3"/>
        </w:rPr>
        <w:t>28.04.2025</w:t>
      </w:r>
      <w:r w:rsidR="00D55930">
        <w:rPr>
          <w:rFonts w:cs="Tahoma"/>
          <w:kern w:val="3"/>
        </w:rPr>
        <w:t>г.</w:t>
      </w:r>
      <w:r w:rsidR="00D55930" w:rsidRPr="00D55930">
        <w:rPr>
          <w:rFonts w:cs="Tahoma"/>
          <w:kern w:val="3"/>
        </w:rPr>
        <w:t xml:space="preserve"> подписан контракт на проведение капитального ремонта с ООО «Меркурий». Срок окончания работ по капитальному ремонту</w:t>
      </w:r>
      <w:r w:rsidR="00D55930">
        <w:rPr>
          <w:rFonts w:cs="Tahoma"/>
          <w:kern w:val="3"/>
        </w:rPr>
        <w:t xml:space="preserve"> -</w:t>
      </w:r>
      <w:r>
        <w:rPr>
          <w:rFonts w:cs="Tahoma"/>
          <w:kern w:val="3"/>
        </w:rPr>
        <w:t xml:space="preserve"> 02.11.2026 г</w:t>
      </w:r>
      <w:r w:rsidR="00D55930" w:rsidRPr="00D55930">
        <w:rPr>
          <w:rFonts w:cs="Tahoma"/>
          <w:kern w:val="3"/>
        </w:rPr>
        <w:t>.</w:t>
      </w:r>
    </w:p>
    <w:p w:rsidR="00D55930" w:rsidRPr="00D55930" w:rsidRDefault="00D55930" w:rsidP="00D55930">
      <w:pPr>
        <w:ind w:firstLine="567"/>
        <w:jc w:val="both"/>
        <w:rPr>
          <w:color w:val="000000"/>
          <w:szCs w:val="22"/>
        </w:rPr>
      </w:pPr>
      <w:r w:rsidRPr="00D55930">
        <w:rPr>
          <w:color w:val="000000"/>
          <w:szCs w:val="22"/>
        </w:rPr>
        <w:t>В ходе работ будет выполнен капитальный ремонт кровли, фасада, входной группы, отмостки, внутренних помещений, обустройство сан</w:t>
      </w:r>
      <w:r>
        <w:rPr>
          <w:color w:val="000000"/>
          <w:szCs w:val="22"/>
        </w:rPr>
        <w:t>итарного</w:t>
      </w:r>
      <w:r w:rsidRPr="00D55930">
        <w:rPr>
          <w:color w:val="000000"/>
          <w:szCs w:val="22"/>
        </w:rPr>
        <w:t xml:space="preserve"> узла для инвалидов, замена окон, дверей, инженерных сетей водоснабжения, водоотведения, электроснабжения, отопления, вентиляции, автоматической пожарной сигнализации.</w:t>
      </w:r>
    </w:p>
    <w:p w:rsidR="00D55930" w:rsidRPr="00D55930" w:rsidRDefault="00D55930" w:rsidP="00D55930">
      <w:pPr>
        <w:ind w:firstLine="567"/>
        <w:jc w:val="both"/>
        <w:rPr>
          <w:color w:val="000000"/>
          <w:szCs w:val="22"/>
        </w:rPr>
      </w:pPr>
      <w:r w:rsidRPr="00D55930">
        <w:rPr>
          <w:color w:val="000000"/>
          <w:szCs w:val="22"/>
        </w:rPr>
        <w:t>В 2025 году согласно плана – графика будут произведены работы по замене отопления, кровли, дверей, окон, отмостки.</w:t>
      </w:r>
    </w:p>
    <w:p w:rsidR="00D55930" w:rsidRPr="00D55930" w:rsidRDefault="00D55930" w:rsidP="00D55930">
      <w:pPr>
        <w:ind w:firstLine="567"/>
        <w:jc w:val="both"/>
        <w:rPr>
          <w:color w:val="000000"/>
          <w:szCs w:val="22"/>
        </w:rPr>
      </w:pPr>
      <w:r w:rsidRPr="00D55930">
        <w:rPr>
          <w:color w:val="000000"/>
          <w:szCs w:val="22"/>
        </w:rPr>
        <w:t>В настоящее время в здании производятся демонтажные работы.</w:t>
      </w:r>
    </w:p>
    <w:p w:rsidR="00D55930" w:rsidRPr="00D55930" w:rsidRDefault="00D55930" w:rsidP="00D55930">
      <w:pPr>
        <w:widowControl w:val="0"/>
        <w:suppressAutoHyphens/>
        <w:autoSpaceDN w:val="0"/>
        <w:jc w:val="both"/>
        <w:rPr>
          <w:rFonts w:cs="Tahoma"/>
          <w:kern w:val="3"/>
        </w:rPr>
      </w:pPr>
    </w:p>
    <w:p w:rsidR="00D55930" w:rsidRPr="00D55930" w:rsidRDefault="00D55930" w:rsidP="00517489">
      <w:pPr>
        <w:widowControl w:val="0"/>
        <w:suppressAutoHyphens/>
        <w:autoSpaceDN w:val="0"/>
        <w:ind w:firstLine="567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>В рамках реализации мероприятий подпрограммы «Наследие и современность» государственной программы «Развитие культуры и архивного дела Новгородской области на 2019 – 2025 годы», подпрограммы «Сохранение и развитие традиционной народной культуры Волотовского муниципального округа» программы «Развитие культуры Волотовского муниципального округа», согласно раздела 1 «Сохранение и актуализация культурного наследия» в течении 2024 года проводилась работа по сбору информации по традиционной праздничной культуре Волотовского района для включения объекта нематериального культурного наследия «Новгородская традиционная праздничная культура: местные праздники Волотовского</w:t>
      </w:r>
      <w:r w:rsidR="00517489">
        <w:rPr>
          <w:rFonts w:cs="Tahoma"/>
          <w:kern w:val="3"/>
        </w:rPr>
        <w:t xml:space="preserve"> района»</w:t>
      </w:r>
      <w:r w:rsidRPr="00D55930">
        <w:rPr>
          <w:rFonts w:cs="Tahoma"/>
          <w:kern w:val="3"/>
        </w:rPr>
        <w:t xml:space="preserve"> в региональный реестр объектов нематериального этнокультурного достояния . В настоящее время готовится паспорт объекта. </w:t>
      </w:r>
      <w:r w:rsidR="00517489" w:rsidRPr="00D55930">
        <w:rPr>
          <w:rFonts w:cs="Tahoma"/>
          <w:kern w:val="3"/>
        </w:rPr>
        <w:t>Предварительная</w:t>
      </w:r>
      <w:r w:rsidR="00517489">
        <w:rPr>
          <w:rFonts w:cs="Tahoma"/>
          <w:kern w:val="3"/>
        </w:rPr>
        <w:t xml:space="preserve"> защита объекта состоялась </w:t>
      </w:r>
      <w:r w:rsidRPr="00D55930">
        <w:rPr>
          <w:rFonts w:cs="Tahoma"/>
          <w:kern w:val="3"/>
        </w:rPr>
        <w:t>31</w:t>
      </w:r>
      <w:r w:rsidR="00517489">
        <w:rPr>
          <w:rFonts w:cs="Tahoma"/>
          <w:kern w:val="3"/>
        </w:rPr>
        <w:t>.03.2025г.</w:t>
      </w:r>
      <w:r w:rsidRPr="00D55930">
        <w:rPr>
          <w:rFonts w:cs="Tahoma"/>
          <w:kern w:val="3"/>
        </w:rPr>
        <w:t xml:space="preserve"> в Новгородском областном доме народного творчества.</w:t>
      </w:r>
    </w:p>
    <w:p w:rsidR="00517489" w:rsidRDefault="00D55930" w:rsidP="00D55930">
      <w:pPr>
        <w:ind w:firstLine="709"/>
        <w:jc w:val="both"/>
        <w:rPr>
          <w:color w:val="000000"/>
        </w:rPr>
      </w:pPr>
      <w:r w:rsidRPr="00D55930">
        <w:rPr>
          <w:color w:val="000000"/>
        </w:rPr>
        <w:t>По состоянию на 01.05.2025</w:t>
      </w:r>
      <w:r w:rsidR="00517489">
        <w:rPr>
          <w:color w:val="000000"/>
        </w:rPr>
        <w:t>г.</w:t>
      </w:r>
      <w:r w:rsidRPr="00D55930">
        <w:rPr>
          <w:color w:val="000000"/>
        </w:rPr>
        <w:t xml:space="preserve"> в культурно-досуговых учреждениях Волотовского муниципального округа осуществляют творческую деятельность 70 клубных формирований с количеством участников 815 человек. </w:t>
      </w:r>
    </w:p>
    <w:p w:rsidR="00D55930" w:rsidRPr="00D55930" w:rsidRDefault="00D55930" w:rsidP="00D55930">
      <w:pPr>
        <w:ind w:firstLine="709"/>
        <w:jc w:val="both"/>
        <w:rPr>
          <w:color w:val="000000"/>
        </w:rPr>
      </w:pPr>
      <w:r w:rsidRPr="00D55930">
        <w:rPr>
          <w:color w:val="000000"/>
        </w:rPr>
        <w:t>Звание «Народный» имеет 1 коллектив.</w:t>
      </w:r>
      <w:r w:rsidR="00517489">
        <w:rPr>
          <w:color w:val="000000"/>
        </w:rPr>
        <w:t xml:space="preserve"> </w:t>
      </w:r>
      <w:r w:rsidRPr="00D55930">
        <w:rPr>
          <w:color w:val="000000"/>
        </w:rPr>
        <w:t xml:space="preserve">Данный коллектив активно принимает участие в межрайонных, межрегиональных и региональных фестивалях – конкурсах. В мае 2024 года коллектив принял участие в </w:t>
      </w:r>
      <w:r w:rsidRPr="00D55930">
        <w:rPr>
          <w:color w:val="000000"/>
        </w:rPr>
        <w:lastRenderedPageBreak/>
        <w:t>региональном этапе Всероссийского хорового фестиваля. Коллектив стал лауреатом 3 степени.</w:t>
      </w:r>
    </w:p>
    <w:p w:rsidR="00D55930" w:rsidRPr="00D55930" w:rsidRDefault="00D55930" w:rsidP="00517489">
      <w:pPr>
        <w:ind w:firstLine="709"/>
        <w:jc w:val="both"/>
        <w:rPr>
          <w:color w:val="000000"/>
        </w:rPr>
      </w:pPr>
      <w:r w:rsidRPr="00D55930">
        <w:rPr>
          <w:color w:val="000000"/>
        </w:rPr>
        <w:t>В текущем году народный хор «Истоки» принял участие в Областном пра</w:t>
      </w:r>
      <w:r w:rsidR="00517489">
        <w:rPr>
          <w:color w:val="000000"/>
        </w:rPr>
        <w:t>зднике «Святки в Витославлицах»</w:t>
      </w:r>
      <w:r w:rsidRPr="00D55930">
        <w:rPr>
          <w:color w:val="000000"/>
        </w:rPr>
        <w:t>, в межмуниципальном конкурсе патриотической песни «О чем поют солдаты», коллектив занял 3</w:t>
      </w:r>
      <w:r w:rsidR="00517489">
        <w:rPr>
          <w:color w:val="000000"/>
        </w:rPr>
        <w:t xml:space="preserve"> место </w:t>
      </w:r>
      <w:r w:rsidRPr="00D55930">
        <w:rPr>
          <w:color w:val="000000"/>
        </w:rPr>
        <w:t>в межмуниципальном патриотическом фестивале «Наследники Победы» г. Сольцы.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eastAsia="Calibri"/>
        </w:rPr>
      </w:pPr>
      <w:r w:rsidRPr="00D55930">
        <w:rPr>
          <w:rFonts w:eastAsia="Calibri"/>
        </w:rPr>
        <w:t>Книжный фонд библиотек на 01.01.2025 включает 78551 экз.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eastAsia="Calibri"/>
        </w:rPr>
      </w:pPr>
      <w:r w:rsidRPr="00D55930">
        <w:rPr>
          <w:rFonts w:eastAsia="Calibri"/>
        </w:rPr>
        <w:t>В 2024 году на комплектование книжных фондов была выделена суб</w:t>
      </w:r>
      <w:r w:rsidR="00517489">
        <w:rPr>
          <w:rFonts w:eastAsia="Calibri"/>
        </w:rPr>
        <w:t>сидия в размере 14,9 тыс. руб.</w:t>
      </w:r>
      <w:r w:rsidRPr="00D55930">
        <w:rPr>
          <w:rFonts w:eastAsia="Calibri"/>
        </w:rPr>
        <w:t>, из них: 12,0</w:t>
      </w:r>
      <w:r w:rsidR="00517489">
        <w:rPr>
          <w:rFonts w:eastAsia="Calibri"/>
        </w:rPr>
        <w:t xml:space="preserve"> </w:t>
      </w:r>
      <w:r w:rsidRPr="00D55930">
        <w:rPr>
          <w:rFonts w:eastAsia="Calibri"/>
        </w:rPr>
        <w:t>т</w:t>
      </w:r>
      <w:r w:rsidR="00517489">
        <w:rPr>
          <w:rFonts w:eastAsia="Calibri"/>
        </w:rPr>
        <w:t>ыс</w:t>
      </w:r>
      <w:r w:rsidRPr="00D55930">
        <w:rPr>
          <w:rFonts w:eastAsia="Calibri"/>
        </w:rPr>
        <w:t>. руб. – ФБ; 2,8 т</w:t>
      </w:r>
      <w:r w:rsidR="00517489">
        <w:rPr>
          <w:rFonts w:eastAsia="Calibri"/>
        </w:rPr>
        <w:t>ыс</w:t>
      </w:r>
      <w:r w:rsidRPr="00D55930">
        <w:rPr>
          <w:rFonts w:eastAsia="Calibri"/>
        </w:rPr>
        <w:t>.руб. – ОБ, МБ -0,1 т</w:t>
      </w:r>
      <w:r w:rsidR="00517489">
        <w:rPr>
          <w:rFonts w:eastAsia="Calibri"/>
        </w:rPr>
        <w:t>ыс</w:t>
      </w:r>
      <w:r w:rsidRPr="00D55930">
        <w:rPr>
          <w:rFonts w:eastAsia="Calibri"/>
        </w:rPr>
        <w:t>.руб.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eastAsia="Calibri"/>
        </w:rPr>
      </w:pPr>
      <w:r w:rsidRPr="00D55930">
        <w:rPr>
          <w:rFonts w:eastAsia="Calibri"/>
        </w:rPr>
        <w:t xml:space="preserve">На данные </w:t>
      </w:r>
      <w:r w:rsidR="00517489">
        <w:rPr>
          <w:rFonts w:eastAsia="Calibri"/>
        </w:rPr>
        <w:t xml:space="preserve">средства приобретены книги для </w:t>
      </w:r>
      <w:r w:rsidRPr="00D55930">
        <w:rPr>
          <w:rFonts w:eastAsia="Calibri"/>
        </w:rPr>
        <w:t>библиотек района.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eastAsia="Calibri"/>
        </w:rPr>
      </w:pPr>
      <w:r w:rsidRPr="00D55930">
        <w:rPr>
          <w:rFonts w:eastAsia="Calibri"/>
        </w:rPr>
        <w:t xml:space="preserve">На 2025 год бюджету муниципального </w:t>
      </w:r>
      <w:r w:rsidR="00517489">
        <w:rPr>
          <w:rFonts w:eastAsia="Calibri"/>
        </w:rPr>
        <w:t>округ</w:t>
      </w:r>
      <w:r w:rsidRPr="00D55930">
        <w:rPr>
          <w:rFonts w:eastAsia="Calibri"/>
        </w:rPr>
        <w:t xml:space="preserve">а выделена субсидия на эти цели в размере </w:t>
      </w:r>
      <w:r w:rsidRPr="00D55930">
        <w:rPr>
          <w:rFonts w:eastAsia="Calibri"/>
          <w:b/>
        </w:rPr>
        <w:t xml:space="preserve">– </w:t>
      </w:r>
      <w:r w:rsidRPr="00D55930">
        <w:rPr>
          <w:rFonts w:eastAsia="Calibri"/>
        </w:rPr>
        <w:t>15,2 тыс. руб. (12,3 тыс. руб. – ФБ; 2,9 тыс. руб. – ОБ).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eastAsia="Calibri"/>
        </w:rPr>
      </w:pPr>
      <w:r w:rsidRPr="00D55930">
        <w:rPr>
          <w:rFonts w:eastAsia="Calibri"/>
        </w:rPr>
        <w:t>Денежные средства будут направлены так же на приобретение литературы для детской и районной библиотек.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eastAsia="Calibri"/>
        </w:rPr>
      </w:pPr>
      <w:r w:rsidRPr="00D55930">
        <w:rPr>
          <w:rFonts w:eastAsia="Calibri"/>
        </w:rPr>
        <w:t xml:space="preserve">Объем электронного каталога составляет 7092 ед. Услугами библиотек пользуется 51 % населения </w:t>
      </w:r>
      <w:r w:rsidR="00517489">
        <w:rPr>
          <w:rFonts w:eastAsia="Calibri"/>
        </w:rPr>
        <w:t>округ</w:t>
      </w:r>
      <w:r w:rsidRPr="00D55930">
        <w:rPr>
          <w:rFonts w:eastAsia="Calibri"/>
        </w:rPr>
        <w:t xml:space="preserve">а. За 2024 год </w:t>
      </w:r>
      <w:r w:rsidRPr="00D55930">
        <w:rPr>
          <w:rFonts w:cs="Tahoma"/>
          <w:kern w:val="3"/>
        </w:rPr>
        <w:t>количество посещений общедоступных (публичных) библиотек, в том числе культурно-массовых мероприятий, проводимых в библиотеках</w:t>
      </w:r>
      <w:r w:rsidRPr="00D55930">
        <w:rPr>
          <w:rFonts w:eastAsia="Calibri"/>
        </w:rPr>
        <w:t xml:space="preserve"> составило - 52525. 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eastAsia="Calibri"/>
        </w:rPr>
      </w:pPr>
      <w:r w:rsidRPr="00D55930">
        <w:rPr>
          <w:rFonts w:eastAsia="Calibri"/>
        </w:rPr>
        <w:t>100 процентов библиотек подключены к сети Интернет.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eastAsia="Calibri"/>
        </w:rPr>
      </w:pPr>
      <w:r w:rsidRPr="00D55930">
        <w:rPr>
          <w:rFonts w:eastAsia="Calibri"/>
        </w:rPr>
        <w:t xml:space="preserve">С целью повышения качества оказания и доступности библиотечных услуг в </w:t>
      </w:r>
      <w:r w:rsidR="00517489">
        <w:rPr>
          <w:rFonts w:eastAsia="Calibri"/>
        </w:rPr>
        <w:t>округ</w:t>
      </w:r>
      <w:r w:rsidRPr="00D55930">
        <w:rPr>
          <w:rFonts w:eastAsia="Calibri"/>
        </w:rPr>
        <w:t xml:space="preserve">е действуют 27 библиотечных пунктов внестационарного обслуживания, позволяющих обеспечивать население отдаленных и малонаселенных пунктов </w:t>
      </w:r>
      <w:r w:rsidR="00517489">
        <w:rPr>
          <w:rFonts w:eastAsia="Calibri"/>
        </w:rPr>
        <w:t>округ</w:t>
      </w:r>
      <w:r w:rsidRPr="00D55930">
        <w:rPr>
          <w:rFonts w:eastAsia="Calibri"/>
        </w:rPr>
        <w:t>а книжными изданиями.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 xml:space="preserve">С целью развития дополнительных услуг и привлечения населения </w:t>
      </w:r>
      <w:r w:rsidR="00517489">
        <w:rPr>
          <w:rFonts w:cs="Tahoma"/>
          <w:kern w:val="3"/>
        </w:rPr>
        <w:t>округ</w:t>
      </w:r>
      <w:r w:rsidRPr="00D55930">
        <w:rPr>
          <w:rFonts w:cs="Tahoma"/>
          <w:kern w:val="3"/>
        </w:rPr>
        <w:t>а в учреждения культуры ежегодно специалисты принимают участие в различных конкурсах и проектах.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t>В 2024 году районная библиотека</w:t>
      </w:r>
      <w:r w:rsidR="00517489">
        <w:rPr>
          <w:rFonts w:cs="Tahoma"/>
          <w:kern w:val="3"/>
        </w:rPr>
        <w:t xml:space="preserve">, победитель </w:t>
      </w:r>
      <w:r w:rsidRPr="00D55930">
        <w:rPr>
          <w:rFonts w:cs="Tahoma"/>
          <w:kern w:val="3"/>
        </w:rPr>
        <w:t>конкурса «Лучшее муниципальное учреждение культуры»</w:t>
      </w:r>
      <w:r w:rsidR="00517489">
        <w:rPr>
          <w:rFonts w:cs="Tahoma"/>
          <w:kern w:val="3"/>
        </w:rPr>
        <w:t>,</w:t>
      </w:r>
      <w:r w:rsidRPr="00D55930">
        <w:rPr>
          <w:rFonts w:cs="Tahoma"/>
          <w:kern w:val="3"/>
        </w:rPr>
        <w:t xml:space="preserve"> получили субсидию в размере 104</w:t>
      </w:r>
      <w:r w:rsidR="00517489">
        <w:rPr>
          <w:rFonts w:cs="Tahoma"/>
          <w:kern w:val="3"/>
        </w:rPr>
        <w:t>,0 тыс.</w:t>
      </w:r>
      <w:r w:rsidRPr="00D55930">
        <w:rPr>
          <w:rFonts w:cs="Tahoma"/>
          <w:kern w:val="3"/>
        </w:rPr>
        <w:t>руб. из областного бюджета.</w:t>
      </w:r>
      <w:r w:rsidR="00517489">
        <w:rPr>
          <w:rFonts w:cs="Tahoma"/>
          <w:kern w:val="3"/>
        </w:rPr>
        <w:t xml:space="preserve"> Средства </w:t>
      </w:r>
      <w:r w:rsidRPr="00D55930">
        <w:rPr>
          <w:rFonts w:cs="Tahoma"/>
          <w:kern w:val="3"/>
        </w:rPr>
        <w:t>израсходованы на приобретение акустической системы и компьютерной техники для проведения культурно – массовых мероприятий.</w:t>
      </w:r>
    </w:p>
    <w:p w:rsidR="00D55930" w:rsidRPr="00D55930" w:rsidRDefault="00D55930" w:rsidP="00D55930">
      <w:pPr>
        <w:ind w:firstLine="709"/>
        <w:jc w:val="both"/>
        <w:rPr>
          <w:color w:val="000000"/>
        </w:rPr>
      </w:pPr>
      <w:r w:rsidRPr="00D55930">
        <w:rPr>
          <w:color w:val="000000"/>
        </w:rPr>
        <w:t>Дополнительным образованием в сфере культуры охвачены 71 ребенок, из них 16 человек обучаются по предпрофессиональным программам (народное отделение – 3 чел.; художественное отделение – 13 чел.) и 55 учащихся обучаются</w:t>
      </w:r>
      <w:r w:rsidR="00517489">
        <w:rPr>
          <w:color w:val="000000"/>
        </w:rPr>
        <w:t xml:space="preserve"> по</w:t>
      </w:r>
      <w:r w:rsidRPr="00D55930">
        <w:rPr>
          <w:color w:val="000000"/>
        </w:rPr>
        <w:t xml:space="preserve"> дополнительным общеразвивающим программам (художественное отделение – 14 чел., хореографическое отделение – 20 чел., отделение народных инструментов – 5 чел., отделение фортепиано – 19 чел.).</w:t>
      </w:r>
    </w:p>
    <w:p w:rsidR="00D55930" w:rsidRPr="00D55930" w:rsidRDefault="00517489" w:rsidP="00D55930">
      <w:pPr>
        <w:ind w:firstLine="709"/>
        <w:jc w:val="both"/>
        <w:rPr>
          <w:color w:val="000000"/>
        </w:rPr>
      </w:pPr>
      <w:r>
        <w:rPr>
          <w:color w:val="000000"/>
        </w:rPr>
        <w:t>Дети</w:t>
      </w:r>
      <w:r w:rsidR="00D55930" w:rsidRPr="00D55930">
        <w:rPr>
          <w:color w:val="000000"/>
        </w:rPr>
        <w:t>, обучающиеся в Детской школе искусств</w:t>
      </w:r>
      <w:r>
        <w:rPr>
          <w:color w:val="000000"/>
        </w:rPr>
        <w:t>,</w:t>
      </w:r>
      <w:r w:rsidR="00D55930" w:rsidRPr="00D55930">
        <w:rPr>
          <w:color w:val="000000"/>
        </w:rPr>
        <w:t xml:space="preserve"> активно участвуют в различных творческих фестивалях, смотрах, конкурсах и выставках. Имеют призовые места.</w:t>
      </w:r>
    </w:p>
    <w:p w:rsidR="00D55930" w:rsidRPr="00D55930" w:rsidRDefault="00D55930" w:rsidP="00D55930">
      <w:pPr>
        <w:ind w:firstLine="709"/>
        <w:jc w:val="both"/>
        <w:rPr>
          <w:color w:val="000000"/>
        </w:rPr>
      </w:pPr>
      <w:r w:rsidRPr="00D55930">
        <w:rPr>
          <w:color w:val="000000"/>
        </w:rPr>
        <w:t>За 2024 – 2025 учебный</w:t>
      </w:r>
      <w:r w:rsidR="00517489">
        <w:rPr>
          <w:color w:val="000000"/>
        </w:rPr>
        <w:t xml:space="preserve"> год </w:t>
      </w:r>
      <w:r w:rsidRPr="00D55930">
        <w:rPr>
          <w:color w:val="000000"/>
        </w:rPr>
        <w:t>учащиеся МБУДО «ВДШИ» получили 16 дипломов лауреатов за участие в Международных и Всероссийских конкурсах и фестивалях.</w:t>
      </w:r>
    </w:p>
    <w:p w:rsidR="00D55930" w:rsidRPr="00D55930" w:rsidRDefault="00D55930" w:rsidP="00D55930">
      <w:pPr>
        <w:widowControl w:val="0"/>
        <w:shd w:val="clear" w:color="auto" w:fill="FFFFFF"/>
        <w:tabs>
          <w:tab w:val="left" w:pos="340"/>
        </w:tabs>
        <w:suppressAutoHyphens/>
        <w:autoSpaceDN w:val="0"/>
        <w:ind w:firstLine="709"/>
        <w:jc w:val="both"/>
        <w:rPr>
          <w:rFonts w:cs="Tahoma"/>
          <w:kern w:val="3"/>
        </w:rPr>
      </w:pPr>
      <w:r w:rsidRPr="00D55930">
        <w:rPr>
          <w:rFonts w:cs="Tahoma"/>
          <w:kern w:val="3"/>
        </w:rPr>
        <w:lastRenderedPageBreak/>
        <w:t>Достижение положительных результатов в развитии сферы культуры Волотовского муниципального округа обеспечивается в пределах реализации муниципальной программы «Развитие культуры на территории Волотовского муниципального округа», а также путем участия в приоритетных региональных проектах «Единый событийный календарь», «Новгородское лето», «Активное долголетие» и другие.</w:t>
      </w:r>
    </w:p>
    <w:p w:rsidR="00D55930" w:rsidRPr="00D55930" w:rsidRDefault="00D55930" w:rsidP="00D55930">
      <w:pPr>
        <w:ind w:firstLine="709"/>
        <w:jc w:val="both"/>
        <w:rPr>
          <w:shd w:val="clear" w:color="auto" w:fill="FFFFFF"/>
        </w:rPr>
      </w:pPr>
      <w:r w:rsidRPr="00D55930">
        <w:rPr>
          <w:color w:val="000000"/>
        </w:rPr>
        <w:t>Учреждения культуры активно подключаются к программе «Пушкинская карта». По состоянию на 01.05.2025</w:t>
      </w:r>
      <w:r w:rsidR="00517489">
        <w:rPr>
          <w:color w:val="000000"/>
        </w:rPr>
        <w:t xml:space="preserve">г. </w:t>
      </w:r>
      <w:r w:rsidRPr="00D55930">
        <w:rPr>
          <w:color w:val="000000"/>
        </w:rPr>
        <w:t xml:space="preserve">подключено 2 учреждения: МБУК </w:t>
      </w:r>
      <w:r w:rsidRPr="00D55930">
        <w:rPr>
          <w:shd w:val="clear" w:color="auto" w:fill="FFFFFF"/>
        </w:rPr>
        <w:t>«Волотовская межпоселенческая централизованная библиотечная система»</w:t>
      </w:r>
      <w:r w:rsidRPr="00D55930">
        <w:rPr>
          <w:color w:val="000000"/>
        </w:rPr>
        <w:t xml:space="preserve">, МБУК </w:t>
      </w:r>
      <w:r w:rsidRPr="00D55930">
        <w:rPr>
          <w:shd w:val="clear" w:color="auto" w:fill="FFFFFF"/>
        </w:rPr>
        <w:t>«Волотовский межпоселенческий социально-культурный центр».</w:t>
      </w:r>
    </w:p>
    <w:p w:rsidR="00D55930" w:rsidRPr="00D55930" w:rsidRDefault="00D55930" w:rsidP="00517489">
      <w:pPr>
        <w:ind w:firstLine="709"/>
        <w:jc w:val="both"/>
        <w:rPr>
          <w:shd w:val="clear" w:color="auto" w:fill="FFFFFF"/>
        </w:rPr>
      </w:pPr>
      <w:r w:rsidRPr="00D55930">
        <w:rPr>
          <w:shd w:val="clear" w:color="auto" w:fill="FFFFFF"/>
        </w:rPr>
        <w:t>За январь – март 2025 года количество проданных билетов по Пушкинской карте составило – 356, за аналогичный период прошлого года  - 183(+173).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bCs/>
          <w:kern w:val="3"/>
        </w:rPr>
      </w:pPr>
      <w:r w:rsidRPr="00D55930">
        <w:rPr>
          <w:rFonts w:cs="Tahoma"/>
          <w:bCs/>
          <w:kern w:val="3"/>
        </w:rPr>
        <w:t>Одним из основных показателей национального проекта «Культура» является показатель «количество посещений организаций культуры».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bCs/>
          <w:kern w:val="3"/>
        </w:rPr>
      </w:pPr>
      <w:r w:rsidRPr="00D55930">
        <w:rPr>
          <w:rFonts w:cs="Tahoma"/>
          <w:bCs/>
          <w:kern w:val="3"/>
        </w:rPr>
        <w:t>Плановое значение показателя на конец 2024 года было установлено для муниципально</w:t>
      </w:r>
      <w:r w:rsidR="00517489">
        <w:rPr>
          <w:rFonts w:cs="Tahoma"/>
          <w:bCs/>
          <w:kern w:val="3"/>
        </w:rPr>
        <w:t>го округа в размере</w:t>
      </w:r>
      <w:r w:rsidRPr="00D55930">
        <w:rPr>
          <w:rFonts w:cs="Tahoma"/>
          <w:bCs/>
          <w:kern w:val="3"/>
        </w:rPr>
        <w:t xml:space="preserve"> - 151208,6 посещений</w:t>
      </w:r>
      <w:r w:rsidR="00517489">
        <w:rPr>
          <w:rFonts w:cs="Tahoma"/>
          <w:bCs/>
          <w:kern w:val="3"/>
        </w:rPr>
        <w:t xml:space="preserve">. </w:t>
      </w:r>
      <w:r w:rsidRPr="00D55930">
        <w:rPr>
          <w:rFonts w:cs="Tahoma"/>
          <w:bCs/>
          <w:kern w:val="3"/>
        </w:rPr>
        <w:t>Показатель вып</w:t>
      </w:r>
      <w:r w:rsidR="00517489">
        <w:rPr>
          <w:rFonts w:cs="Tahoma"/>
          <w:bCs/>
          <w:kern w:val="3"/>
        </w:rPr>
        <w:t xml:space="preserve">олнен </w:t>
      </w:r>
      <w:r w:rsidRPr="00D55930">
        <w:rPr>
          <w:rFonts w:cs="Tahoma"/>
          <w:bCs/>
          <w:kern w:val="3"/>
        </w:rPr>
        <w:t>на 101,5 процентов, количество посещений составило – 153601 посещения.</w:t>
      </w:r>
    </w:p>
    <w:p w:rsidR="00D55930" w:rsidRPr="00D55930" w:rsidRDefault="00D55930" w:rsidP="00D55930">
      <w:pPr>
        <w:widowControl w:val="0"/>
        <w:suppressAutoHyphens/>
        <w:autoSpaceDN w:val="0"/>
        <w:ind w:firstLine="709"/>
        <w:jc w:val="both"/>
        <w:rPr>
          <w:rFonts w:cs="Tahoma"/>
          <w:bCs/>
          <w:kern w:val="3"/>
        </w:rPr>
      </w:pPr>
      <w:r w:rsidRPr="00D55930">
        <w:rPr>
          <w:rFonts w:cs="Tahoma"/>
          <w:bCs/>
          <w:kern w:val="3"/>
        </w:rPr>
        <w:t>На 2025</w:t>
      </w:r>
      <w:r w:rsidR="00517489">
        <w:rPr>
          <w:rFonts w:cs="Tahoma"/>
          <w:bCs/>
          <w:kern w:val="3"/>
        </w:rPr>
        <w:t xml:space="preserve"> год показатель «К</w:t>
      </w:r>
      <w:r w:rsidRPr="00D55930">
        <w:rPr>
          <w:rFonts w:cs="Tahoma"/>
          <w:bCs/>
          <w:kern w:val="3"/>
        </w:rPr>
        <w:t>оличество посещений организаций культуры» составляет – 194126,6 посещений. За 4 месяца показатель выполнен на 34,9 % и составил 67892 посещения.</w:t>
      </w:r>
    </w:p>
    <w:p w:rsidR="00A671A0" w:rsidRPr="003A057E" w:rsidRDefault="00AA64F0" w:rsidP="00D55930">
      <w:pPr>
        <w:ind w:firstLine="709"/>
        <w:jc w:val="both"/>
        <w:rPr>
          <w:szCs w:val="24"/>
        </w:rPr>
      </w:pPr>
      <w:r>
        <w:t xml:space="preserve"> </w:t>
      </w:r>
    </w:p>
    <w:sectPr w:rsidR="00A671A0" w:rsidRPr="003A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66" w:rsidRDefault="00C10366" w:rsidP="006458DF">
      <w:r>
        <w:separator/>
      </w:r>
    </w:p>
  </w:endnote>
  <w:endnote w:type="continuationSeparator" w:id="0">
    <w:p w:rsidR="00C10366" w:rsidRDefault="00C10366" w:rsidP="0064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66" w:rsidRDefault="00C10366" w:rsidP="006458DF">
      <w:r>
        <w:separator/>
      </w:r>
    </w:p>
  </w:footnote>
  <w:footnote w:type="continuationSeparator" w:id="0">
    <w:p w:rsidR="00C10366" w:rsidRDefault="00C10366" w:rsidP="0064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B3E77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81324F1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767E1D08"/>
    <w:multiLevelType w:val="hybridMultilevel"/>
    <w:tmpl w:val="3FA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E"/>
    <w:rsid w:val="00000AC5"/>
    <w:rsid w:val="000140E2"/>
    <w:rsid w:val="00037895"/>
    <w:rsid w:val="00042DB7"/>
    <w:rsid w:val="0004776D"/>
    <w:rsid w:val="000E1D84"/>
    <w:rsid w:val="000F2BCC"/>
    <w:rsid w:val="00190410"/>
    <w:rsid w:val="001A71D2"/>
    <w:rsid w:val="001C2614"/>
    <w:rsid w:val="001D1930"/>
    <w:rsid w:val="001D7545"/>
    <w:rsid w:val="001F571D"/>
    <w:rsid w:val="00202F10"/>
    <w:rsid w:val="00212171"/>
    <w:rsid w:val="002166A5"/>
    <w:rsid w:val="00221220"/>
    <w:rsid w:val="00237471"/>
    <w:rsid w:val="002667DF"/>
    <w:rsid w:val="0026757B"/>
    <w:rsid w:val="00273D79"/>
    <w:rsid w:val="002B2D73"/>
    <w:rsid w:val="002B6970"/>
    <w:rsid w:val="002D51CD"/>
    <w:rsid w:val="002F5283"/>
    <w:rsid w:val="00303EF4"/>
    <w:rsid w:val="00327CF7"/>
    <w:rsid w:val="0035582E"/>
    <w:rsid w:val="00377DCB"/>
    <w:rsid w:val="00385CF2"/>
    <w:rsid w:val="003A057E"/>
    <w:rsid w:val="003C5A0D"/>
    <w:rsid w:val="003F2AC6"/>
    <w:rsid w:val="003F6D43"/>
    <w:rsid w:val="00427BB5"/>
    <w:rsid w:val="004471E7"/>
    <w:rsid w:val="00465C93"/>
    <w:rsid w:val="004B2D67"/>
    <w:rsid w:val="004C52DE"/>
    <w:rsid w:val="004D60B9"/>
    <w:rsid w:val="004E0E6F"/>
    <w:rsid w:val="004E1A35"/>
    <w:rsid w:val="004F632A"/>
    <w:rsid w:val="00517489"/>
    <w:rsid w:val="00520B98"/>
    <w:rsid w:val="00537F12"/>
    <w:rsid w:val="00552F4E"/>
    <w:rsid w:val="00561A2E"/>
    <w:rsid w:val="0056271A"/>
    <w:rsid w:val="005B68B2"/>
    <w:rsid w:val="005C64F1"/>
    <w:rsid w:val="00612CEB"/>
    <w:rsid w:val="006458DF"/>
    <w:rsid w:val="00650891"/>
    <w:rsid w:val="00680BC6"/>
    <w:rsid w:val="006C51F2"/>
    <w:rsid w:val="00786793"/>
    <w:rsid w:val="00787795"/>
    <w:rsid w:val="007967E1"/>
    <w:rsid w:val="007977C2"/>
    <w:rsid w:val="007A01FA"/>
    <w:rsid w:val="007D2822"/>
    <w:rsid w:val="007E51C9"/>
    <w:rsid w:val="00834B4C"/>
    <w:rsid w:val="008C526D"/>
    <w:rsid w:val="008F1D96"/>
    <w:rsid w:val="00900493"/>
    <w:rsid w:val="0091632E"/>
    <w:rsid w:val="00936052"/>
    <w:rsid w:val="00964F77"/>
    <w:rsid w:val="009B0929"/>
    <w:rsid w:val="009C1B72"/>
    <w:rsid w:val="009C25A0"/>
    <w:rsid w:val="009D61F1"/>
    <w:rsid w:val="009F6E81"/>
    <w:rsid w:val="00A176F2"/>
    <w:rsid w:val="00A3739D"/>
    <w:rsid w:val="00A671A0"/>
    <w:rsid w:val="00A74113"/>
    <w:rsid w:val="00A834E2"/>
    <w:rsid w:val="00A85681"/>
    <w:rsid w:val="00AA64F0"/>
    <w:rsid w:val="00AB15EB"/>
    <w:rsid w:val="00AB190D"/>
    <w:rsid w:val="00AC506E"/>
    <w:rsid w:val="00AE5B0E"/>
    <w:rsid w:val="00B03995"/>
    <w:rsid w:val="00B60158"/>
    <w:rsid w:val="00B71BB3"/>
    <w:rsid w:val="00B93626"/>
    <w:rsid w:val="00BC76BF"/>
    <w:rsid w:val="00BD38BF"/>
    <w:rsid w:val="00BD50C3"/>
    <w:rsid w:val="00BE2A5B"/>
    <w:rsid w:val="00C03C76"/>
    <w:rsid w:val="00C10366"/>
    <w:rsid w:val="00C116F3"/>
    <w:rsid w:val="00C25DE6"/>
    <w:rsid w:val="00C30584"/>
    <w:rsid w:val="00C9003F"/>
    <w:rsid w:val="00CA10C1"/>
    <w:rsid w:val="00CC6A8A"/>
    <w:rsid w:val="00CD2239"/>
    <w:rsid w:val="00CD601A"/>
    <w:rsid w:val="00CE1BB2"/>
    <w:rsid w:val="00CF4697"/>
    <w:rsid w:val="00D24C69"/>
    <w:rsid w:val="00D30F8A"/>
    <w:rsid w:val="00D55930"/>
    <w:rsid w:val="00D767ED"/>
    <w:rsid w:val="00DC36F5"/>
    <w:rsid w:val="00DC3A8B"/>
    <w:rsid w:val="00DC4B8C"/>
    <w:rsid w:val="00DD4B43"/>
    <w:rsid w:val="00DD7811"/>
    <w:rsid w:val="00DE1C26"/>
    <w:rsid w:val="00E07CF1"/>
    <w:rsid w:val="00E31B93"/>
    <w:rsid w:val="00E467DB"/>
    <w:rsid w:val="00E46917"/>
    <w:rsid w:val="00E5370B"/>
    <w:rsid w:val="00E6200A"/>
    <w:rsid w:val="00E63999"/>
    <w:rsid w:val="00E64467"/>
    <w:rsid w:val="00E64970"/>
    <w:rsid w:val="00E64E23"/>
    <w:rsid w:val="00EE467E"/>
    <w:rsid w:val="00F20875"/>
    <w:rsid w:val="00F27E52"/>
    <w:rsid w:val="00F74CFE"/>
    <w:rsid w:val="00F92EE5"/>
    <w:rsid w:val="00FA289E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BC5B-4FF8-4F57-A3E0-DBA28F7F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929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2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 Надежда Яковлевна</dc:creator>
  <cp:lastModifiedBy>Морозова Лариса Евгеньевна</cp:lastModifiedBy>
  <cp:revision>5</cp:revision>
  <cp:lastPrinted>2025-06-03T08:10:00Z</cp:lastPrinted>
  <dcterms:created xsi:type="dcterms:W3CDTF">2025-06-02T12:55:00Z</dcterms:created>
  <dcterms:modified xsi:type="dcterms:W3CDTF">2025-06-03T08:13:00Z</dcterms:modified>
</cp:coreProperties>
</file>