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F9" w:rsidRDefault="00F866F9" w:rsidP="00F866F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6F9" w:rsidRDefault="00F866F9" w:rsidP="00F866F9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F866F9" w:rsidRDefault="00F866F9" w:rsidP="00F866F9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F866F9" w:rsidRDefault="00F866F9" w:rsidP="00F866F9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Дума </w:t>
      </w:r>
      <w:proofErr w:type="spellStart"/>
      <w:r>
        <w:rPr>
          <w:b/>
          <w:sz w:val="28"/>
        </w:rPr>
        <w:t>Волотовского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F866F9" w:rsidRDefault="00F866F9" w:rsidP="00F866F9">
      <w:pPr>
        <w:rPr>
          <w:b/>
          <w:sz w:val="28"/>
        </w:rPr>
      </w:pPr>
    </w:p>
    <w:p w:rsidR="00F866F9" w:rsidRDefault="00F866F9" w:rsidP="00F866F9">
      <w:pPr>
        <w:jc w:val="center"/>
        <w:rPr>
          <w:b/>
          <w:sz w:val="36"/>
          <w:szCs w:val="32"/>
        </w:rPr>
      </w:pPr>
      <w:proofErr w:type="gramStart"/>
      <w:r>
        <w:rPr>
          <w:b/>
          <w:sz w:val="36"/>
          <w:szCs w:val="32"/>
        </w:rPr>
        <w:t>Р</w:t>
      </w:r>
      <w:proofErr w:type="gramEnd"/>
      <w:r>
        <w:rPr>
          <w:b/>
          <w:sz w:val="36"/>
          <w:szCs w:val="32"/>
        </w:rPr>
        <w:t xml:space="preserve"> Е Ш Е Н И Е</w:t>
      </w:r>
    </w:p>
    <w:p w:rsidR="00F866F9" w:rsidRDefault="00F866F9" w:rsidP="00F866F9">
      <w:pPr>
        <w:keepNext/>
        <w:keepLines/>
        <w:rPr>
          <w:sz w:val="32"/>
          <w:szCs w:val="28"/>
        </w:rPr>
      </w:pPr>
    </w:p>
    <w:p w:rsidR="00F866F9" w:rsidRDefault="00F866F9" w:rsidP="00F866F9">
      <w:pPr>
        <w:keepNext/>
        <w:keepLines/>
        <w:rPr>
          <w:sz w:val="28"/>
        </w:rPr>
      </w:pPr>
      <w:r>
        <w:rPr>
          <w:sz w:val="28"/>
        </w:rPr>
        <w:t xml:space="preserve">от  </w:t>
      </w:r>
      <w:r w:rsidR="00294BEC">
        <w:rPr>
          <w:sz w:val="28"/>
        </w:rPr>
        <w:t xml:space="preserve">23.03.2017  </w:t>
      </w:r>
      <w:bookmarkStart w:id="0" w:name="_GoBack"/>
      <w:bookmarkEnd w:id="0"/>
      <w:r>
        <w:rPr>
          <w:sz w:val="28"/>
        </w:rPr>
        <w:t xml:space="preserve"> №  </w:t>
      </w:r>
      <w:r w:rsidR="00294BEC">
        <w:rPr>
          <w:sz w:val="28"/>
        </w:rPr>
        <w:t>142</w:t>
      </w:r>
    </w:p>
    <w:p w:rsidR="00F866F9" w:rsidRDefault="00F866F9" w:rsidP="00F866F9">
      <w:pPr>
        <w:keepNext/>
        <w:keepLines/>
        <w:rPr>
          <w:sz w:val="28"/>
        </w:rPr>
      </w:pPr>
      <w:r>
        <w:rPr>
          <w:sz w:val="28"/>
        </w:rPr>
        <w:t>п. Волот</w:t>
      </w:r>
    </w:p>
    <w:p w:rsidR="00B11CB5" w:rsidRDefault="00B11CB5" w:rsidP="00B11CB5">
      <w:pPr>
        <w:rPr>
          <w:sz w:val="28"/>
        </w:rPr>
      </w:pPr>
    </w:p>
    <w:p w:rsidR="00B11CB5" w:rsidRDefault="00B11CB5" w:rsidP="00B11CB5">
      <w:pPr>
        <w:rPr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B11CB5" w:rsidTr="00B11CB5">
        <w:tc>
          <w:tcPr>
            <w:tcW w:w="4484" w:type="dxa"/>
            <w:hideMark/>
          </w:tcPr>
          <w:p w:rsidR="00B11CB5" w:rsidRDefault="00B11C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итогах проведения областного благотворительного марафона «Рождественский подарок» 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 в период с 26 декабря 2016 года по 27 января 2017 года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5323" w:type="dxa"/>
          </w:tcPr>
          <w:p w:rsidR="00B11CB5" w:rsidRDefault="00B11CB5">
            <w:pPr>
              <w:spacing w:line="276" w:lineRule="auto"/>
              <w:rPr>
                <w:lang w:eastAsia="en-US"/>
              </w:rPr>
            </w:pPr>
          </w:p>
        </w:tc>
      </w:tr>
    </w:tbl>
    <w:p w:rsidR="00B11CB5" w:rsidRDefault="00B11CB5" w:rsidP="00B11CB5">
      <w:pPr>
        <w:rPr>
          <w:b/>
          <w:sz w:val="28"/>
          <w:szCs w:val="28"/>
        </w:rPr>
      </w:pPr>
    </w:p>
    <w:p w:rsidR="00B11CB5" w:rsidRDefault="00B11CB5" w:rsidP="00B11CB5">
      <w:pPr>
        <w:rPr>
          <w:b/>
          <w:sz w:val="28"/>
          <w:szCs w:val="28"/>
        </w:rPr>
      </w:pPr>
    </w:p>
    <w:p w:rsidR="00B11CB5" w:rsidRPr="00B11CB5" w:rsidRDefault="00B11CB5" w:rsidP="00B11CB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11CB5">
        <w:rPr>
          <w:rFonts w:eastAsia="Calibri"/>
          <w:color w:val="000000"/>
          <w:sz w:val="28"/>
          <w:szCs w:val="28"/>
          <w:lang w:eastAsia="en-US"/>
        </w:rPr>
        <w:t xml:space="preserve">В соответствии с Федеральным законом от 6 октября 2003 года №131 – ФЗ «Об общих принципах организации местного самоуправления в Российской Федерации», Уставом </w:t>
      </w:r>
      <w:proofErr w:type="spellStart"/>
      <w:r w:rsidRPr="00B11CB5">
        <w:rPr>
          <w:rFonts w:eastAsia="Calibri"/>
          <w:color w:val="000000"/>
          <w:sz w:val="28"/>
          <w:szCs w:val="28"/>
          <w:lang w:eastAsia="en-US"/>
        </w:rPr>
        <w:t>Волотовского</w:t>
      </w:r>
      <w:proofErr w:type="spellEnd"/>
      <w:r w:rsidRPr="00B11CB5">
        <w:rPr>
          <w:rFonts w:eastAsia="Calibri"/>
          <w:color w:val="000000"/>
          <w:sz w:val="28"/>
          <w:szCs w:val="28"/>
          <w:lang w:eastAsia="en-US"/>
        </w:rPr>
        <w:t xml:space="preserve"> муниципального района</w:t>
      </w:r>
    </w:p>
    <w:p w:rsidR="00B11CB5" w:rsidRPr="00B11CB5" w:rsidRDefault="00B11CB5" w:rsidP="00B11CB5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B11CB5" w:rsidRPr="00B11CB5" w:rsidRDefault="00B11CB5" w:rsidP="00B11CB5">
      <w:pPr>
        <w:ind w:firstLine="709"/>
        <w:jc w:val="both"/>
        <w:rPr>
          <w:b/>
          <w:sz w:val="28"/>
          <w:szCs w:val="28"/>
        </w:rPr>
      </w:pPr>
      <w:r w:rsidRPr="00B11CB5">
        <w:rPr>
          <w:b/>
          <w:sz w:val="28"/>
          <w:szCs w:val="28"/>
        </w:rPr>
        <w:t>РЕШИЛА:</w:t>
      </w:r>
    </w:p>
    <w:p w:rsidR="00B11CB5" w:rsidRDefault="00B11CB5" w:rsidP="00B11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отчет комитета по социальной защите населения 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об итогах проведения областного благотворительного марафона «Рождественский подарок»  на  территории 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 муниципального  района  в период с 26 декабря 2016 года по 27 января 2017 года.</w:t>
      </w:r>
    </w:p>
    <w:p w:rsidR="00B11CB5" w:rsidRDefault="00B11CB5" w:rsidP="00113B60">
      <w:pPr>
        <w:jc w:val="both"/>
        <w:rPr>
          <w:sz w:val="28"/>
          <w:szCs w:val="28"/>
        </w:rPr>
      </w:pPr>
    </w:p>
    <w:p w:rsidR="00B11CB5" w:rsidRDefault="00B11CB5" w:rsidP="00113B60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11CB5" w:rsidTr="00B11CB5">
        <w:tc>
          <w:tcPr>
            <w:tcW w:w="4785" w:type="dxa"/>
          </w:tcPr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</w:p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  <w:p w:rsidR="00B11CB5" w:rsidRDefault="00B11CB5">
            <w:pPr>
              <w:autoSpaceDN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B11CB5" w:rsidRDefault="00B11CB5" w:rsidP="00B11CB5">
      <w:pPr>
        <w:jc w:val="both"/>
      </w:pPr>
    </w:p>
    <w:p w:rsidR="00B11CB5" w:rsidRDefault="00B11CB5" w:rsidP="00B11CB5">
      <w:pPr>
        <w:jc w:val="both"/>
      </w:pPr>
    </w:p>
    <w:p w:rsidR="00B11CB5" w:rsidRDefault="00B11CB5" w:rsidP="00B11CB5">
      <w:pPr>
        <w:rPr>
          <w:b/>
          <w:sz w:val="28"/>
          <w:szCs w:val="28"/>
        </w:rPr>
      </w:pPr>
    </w:p>
    <w:p w:rsidR="00B11CB5" w:rsidRDefault="00B11CB5" w:rsidP="00113B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</w:t>
      </w:r>
    </w:p>
    <w:p w:rsidR="00B11CB5" w:rsidRDefault="00B11CB5" w:rsidP="00113B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проведения областного благотворительного марафона «Рождественский подарок»  на территории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 района в период  с 26.12.  2016 г. по 27. 01.2017 г.</w:t>
      </w:r>
    </w:p>
    <w:p w:rsidR="00B11CB5" w:rsidRDefault="00B11CB5" w:rsidP="00B11CB5">
      <w:pPr>
        <w:jc w:val="center"/>
        <w:rPr>
          <w:b/>
          <w:sz w:val="28"/>
          <w:szCs w:val="28"/>
        </w:rPr>
      </w:pP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 сохранения и продолжения традиций  </w:t>
      </w:r>
      <w:proofErr w:type="gramStart"/>
      <w:r>
        <w:rPr>
          <w:sz w:val="28"/>
          <w:szCs w:val="28"/>
        </w:rPr>
        <w:t>проведения</w:t>
      </w:r>
      <w:proofErr w:type="gramEnd"/>
      <w:r>
        <w:rPr>
          <w:sz w:val="28"/>
          <w:szCs w:val="28"/>
        </w:rPr>
        <w:t xml:space="preserve"> новогодних и рождественских благотворительных акций, следуя доброй акции  милосердия и добра, по инициативе Фонда социальной поддержки населения Новгородской области «Сохрани жизнь»,  при поддержке Правительства Новгородской области  в период  с 26 декабря 2016 года по 27 января 2017 года проводился  областной благотворительный марафон «Рождественский подарок». Эта благотворительная акция  проходит в нашем  районе,  как и во всей области,  ежегодно, начиная с 1992 года, и позволяет привлекать дополнительные средства для оказания помощи особо нуждающимся жителям района.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 проведения  благотворительного марафона «Рождественский подарок»  в этом году  - оказание практической помощи семьям с детьми, оказавшимся в трудной жизненной ситуации.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01.12.2016 года  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 района проживало  162 семьи с детьми, находящихся в трудной жизненной ситуации, 15 семей, в которых воспитываются 15 детей – инвалидов.</w:t>
      </w:r>
    </w:p>
    <w:p w:rsidR="00B11CB5" w:rsidRDefault="00B11CB5" w:rsidP="00113B6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Распоряжением 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14.11.2016 № 425-рз «О районном  марафоне «Рождественский подарок» был утвержден состав организационного комитета  по подготовке и проведению благотворительного марафона «Рождественский подарок» на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21.12.2016 года  состоялось заседание организационного комитета, на котором было принято решение с целью обеспечения  максимально возможного сбора средств   в ходе проведения  благотворительного марафона  направить письма – обращения  руководителям предприятий, учреждений, организаций района, индивидуальным предпринимателям, разместить на досках объявлений  листовк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обращения к гражданам района, разместить информацию о проводимой акции  в газете «Вперед», в группах «Волот», «Районный Дом культуры п. Волот», в социальной сети   «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».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 разработан календарный план основных мероприятий, проводимых в ходе  благотворительного марафона «Рождественский подарок»  в </w:t>
      </w:r>
      <w:proofErr w:type="spellStart"/>
      <w:r>
        <w:rPr>
          <w:sz w:val="28"/>
          <w:szCs w:val="28"/>
        </w:rPr>
        <w:t>Волотовском</w:t>
      </w:r>
      <w:proofErr w:type="spellEnd"/>
      <w:r>
        <w:rPr>
          <w:sz w:val="28"/>
          <w:szCs w:val="28"/>
        </w:rPr>
        <w:t xml:space="preserve"> муниципальном районе. Согласно предложениям, поступившим из сельских поселений  муниципального района, заявлениям от граждан, поступившим в   комитет по социальной защите населения Администрации муниципального района   был составлен список  семей с детьми, находящихся в трудной жизненной ситуации,  для оказания им адресной помощи. 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организационного комитета было принято решение о проведении в рамках данной акции благотворительного концерта силами </w:t>
      </w:r>
      <w:r>
        <w:rPr>
          <w:sz w:val="28"/>
          <w:szCs w:val="28"/>
        </w:rPr>
        <w:lastRenderedPageBreak/>
        <w:t xml:space="preserve">работников культуры района и участников художественного самодеятельности, благотворительного аукциона и благотворительной лотереи.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Начиная с 21 декабря 2016 года, в комитете по социальной защите населения был открыт пункт по сбору одежды и обуви, игрушек для малообеспеченных граждан района.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Торжественное  открытие благотворительной акции состоялось 22 декабря 2016 г. концертом воспитанников Детской школы искусств. Денежные средства, реализованные от продажи билетов на концерт в сумме 3250 рублей, явились первым взносом в фонд районного  благотворительного марафона.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Ярким событием марафона стал традиционный благотворительный концерт, который  состоялся 27 января 2017 года в районном Доме культуры п. Волот.  </w:t>
      </w:r>
      <w:proofErr w:type="gramStart"/>
      <w:r>
        <w:rPr>
          <w:sz w:val="28"/>
          <w:szCs w:val="28"/>
        </w:rPr>
        <w:t>В ходе концертной программы был проведен благотворительный аукцион, по результатам которого были распроданы  36  лотов,  а это: продуктовые наборы (ИП Тимофеева Н.М., ИП Анисимова Л.Г., коллектив торговой сети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 xml:space="preserve">»),  мясо телятины 5 кг (СПК «Октябрьский»),  картофель,   предоставленный предпринимателем Орловым А.В.,  подписка на районную газету «Вперед», посуда (ИП «Медведева», ИП «Орлова»), праздничный торт,  предоставленный </w:t>
      </w:r>
      <w:proofErr w:type="spellStart"/>
      <w:r>
        <w:rPr>
          <w:sz w:val="28"/>
          <w:szCs w:val="28"/>
        </w:rPr>
        <w:t>Волотовским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,   изделия народного</w:t>
      </w:r>
      <w:proofErr w:type="gramEnd"/>
      <w:r>
        <w:rPr>
          <w:sz w:val="28"/>
          <w:szCs w:val="28"/>
        </w:rPr>
        <w:t xml:space="preserve"> творчества, представленные  участниками клубных формирований сельских домов культуры и детской школы искусств,  продуктовые наборы (ООО «Группа компаний Адепт»), работы  ветеранов труда - жителей района, представленные районным Советом ветеранов и многое другое.  Выкупленные  на аукционе продуктовые наборы, участники аукциона тут же просили передать в малоимущие семьи  с детьми, находящиеся в трудной жизненной ситуации. Выкупленный лот – праздничный торт, предоставленный  ПО </w:t>
      </w:r>
      <w:proofErr w:type="spellStart"/>
      <w:r>
        <w:rPr>
          <w:sz w:val="28"/>
          <w:szCs w:val="28"/>
        </w:rPr>
        <w:t>Волотовское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, по желанию покупателя,  был передан для угощения дете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участников благотворительного концерта.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денежных средств, вырученных от продажи билетов и проведения благотворительного аукциона и розыгрыша благотворительной лотереи,  составила 61000 рублей. </w:t>
      </w:r>
    </w:p>
    <w:p w:rsidR="00B11CB5" w:rsidRDefault="00B11CB5" w:rsidP="00113B60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Начиная с </w:t>
      </w:r>
      <w:r>
        <w:rPr>
          <w:sz w:val="28"/>
          <w:szCs w:val="28"/>
        </w:rPr>
        <w:t>26</w:t>
      </w:r>
      <w:r>
        <w:rPr>
          <w:rFonts w:eastAsia="Calibri"/>
          <w:sz w:val="28"/>
          <w:szCs w:val="28"/>
        </w:rPr>
        <w:t xml:space="preserve"> декабря 201</w:t>
      </w:r>
      <w:r w:rsidR="00113B60">
        <w:rPr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года,  ежедневно  в департамент труда и  социальной защиты населения Новгородской области  направлялась  оперативная информация о ходе проведения благотворительного марафона на терри</w:t>
      </w:r>
      <w:r w:rsidR="00113B60">
        <w:rPr>
          <w:rFonts w:eastAsia="Calibri"/>
          <w:sz w:val="28"/>
          <w:szCs w:val="28"/>
        </w:rPr>
        <w:t xml:space="preserve">тории муниципального района. </w:t>
      </w:r>
    </w:p>
    <w:p w:rsidR="00B11CB5" w:rsidRDefault="00B11CB5" w:rsidP="00113B60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Итоги проведения марафона стали свидетельством того, что большинство наших граждан проявили доброту и милосердие, сделав свой вклад в денежной или натуральной форме.   </w:t>
      </w:r>
    </w:p>
    <w:p w:rsidR="00B11CB5" w:rsidRDefault="00B11CB5" w:rsidP="00113B60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этом году в ходе проведения благотворительной акции в </w:t>
      </w:r>
      <w:proofErr w:type="spellStart"/>
      <w:r>
        <w:rPr>
          <w:rFonts w:eastAsia="Calibri"/>
          <w:sz w:val="28"/>
          <w:szCs w:val="28"/>
        </w:rPr>
        <w:t>Волотовском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F866F9">
        <w:rPr>
          <w:rFonts w:eastAsia="Calibri"/>
          <w:sz w:val="28"/>
          <w:szCs w:val="28"/>
        </w:rPr>
        <w:t>муниципальном  районе поступило</w:t>
      </w:r>
      <w:r w:rsidRPr="00F866F9"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фонд благотворительного марафона  средств на общую сумму </w:t>
      </w:r>
      <w:r>
        <w:rPr>
          <w:sz w:val="28"/>
          <w:szCs w:val="28"/>
        </w:rPr>
        <w:t xml:space="preserve">  525651 рублей, в том числе: в денежной форме- 321596 руб., в натуральной форме- 204055 рублей.</w:t>
      </w:r>
    </w:p>
    <w:tbl>
      <w:tblPr>
        <w:tblW w:w="9195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200"/>
        <w:gridCol w:w="1099"/>
        <w:gridCol w:w="1199"/>
        <w:gridCol w:w="1199"/>
        <w:gridCol w:w="1299"/>
        <w:gridCol w:w="1199"/>
        <w:gridCol w:w="1199"/>
      </w:tblGrid>
      <w:tr w:rsidR="00B11CB5" w:rsidRPr="00F866F9" w:rsidTr="00F866F9">
        <w:trPr>
          <w:trHeight w:val="160"/>
        </w:trPr>
        <w:tc>
          <w:tcPr>
            <w:tcW w:w="800" w:type="dxa"/>
            <w:vMerge w:val="restart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год</w:t>
            </w:r>
          </w:p>
        </w:tc>
        <w:tc>
          <w:tcPr>
            <w:tcW w:w="1200" w:type="dxa"/>
            <w:vMerge w:val="restart"/>
          </w:tcPr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Поступило всего</w:t>
            </w:r>
          </w:p>
          <w:p w:rsidR="00B11CB5" w:rsidRPr="00F866F9" w:rsidRDefault="00B11CB5">
            <w:pPr>
              <w:spacing w:line="276" w:lineRule="auto"/>
              <w:jc w:val="both"/>
              <w:rPr>
                <w:lang w:eastAsia="en-US"/>
              </w:rPr>
            </w:pPr>
          </w:p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</w:t>
            </w:r>
          </w:p>
        </w:tc>
        <w:tc>
          <w:tcPr>
            <w:tcW w:w="3500" w:type="dxa"/>
            <w:gridSpan w:val="3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lastRenderedPageBreak/>
              <w:t>В денежной форме</w:t>
            </w:r>
          </w:p>
        </w:tc>
        <w:tc>
          <w:tcPr>
            <w:tcW w:w="3700" w:type="dxa"/>
            <w:gridSpan w:val="3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В натуральной форме</w:t>
            </w:r>
          </w:p>
          <w:p w:rsidR="00B11CB5" w:rsidRPr="00F866F9" w:rsidRDefault="00B11CB5">
            <w:pPr>
              <w:spacing w:line="276" w:lineRule="auto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</w:t>
            </w:r>
          </w:p>
        </w:tc>
      </w:tr>
      <w:tr w:rsidR="00B11CB5" w:rsidRPr="00F866F9" w:rsidTr="00F866F9">
        <w:trPr>
          <w:trHeight w:val="160"/>
        </w:trPr>
        <w:tc>
          <w:tcPr>
            <w:tcW w:w="800" w:type="dxa"/>
            <w:vMerge/>
            <w:vAlign w:val="center"/>
            <w:hideMark/>
          </w:tcPr>
          <w:p w:rsidR="00B11CB5" w:rsidRPr="00F866F9" w:rsidRDefault="00B11CB5">
            <w:pPr>
              <w:rPr>
                <w:b/>
                <w:lang w:eastAsia="en-US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B11CB5" w:rsidRPr="00F866F9" w:rsidRDefault="00B11CB5">
            <w:pPr>
              <w:rPr>
                <w:b/>
                <w:lang w:eastAsia="en-US"/>
              </w:rPr>
            </w:pPr>
          </w:p>
        </w:tc>
        <w:tc>
          <w:tcPr>
            <w:tcW w:w="1100" w:type="dxa"/>
            <w:hideMark/>
          </w:tcPr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      всего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от </w:t>
            </w:r>
          </w:p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организаций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от</w:t>
            </w:r>
          </w:p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граждан </w:t>
            </w:r>
          </w:p>
        </w:tc>
        <w:tc>
          <w:tcPr>
            <w:tcW w:w="1300" w:type="dxa"/>
          </w:tcPr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B11CB5" w:rsidRPr="00F866F9" w:rsidRDefault="00B11CB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всего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lang w:eastAsia="en-US"/>
              </w:rPr>
            </w:pPr>
            <w:r w:rsidRPr="00F866F9">
              <w:rPr>
                <w:b/>
                <w:lang w:eastAsia="en-US"/>
              </w:rPr>
              <w:t>от организаций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от</w:t>
            </w:r>
          </w:p>
          <w:p w:rsidR="00B11CB5" w:rsidRPr="00F866F9" w:rsidRDefault="00B11CB5">
            <w:pPr>
              <w:spacing w:line="276" w:lineRule="auto"/>
              <w:jc w:val="center"/>
              <w:rPr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граждан </w:t>
            </w:r>
          </w:p>
        </w:tc>
      </w:tr>
      <w:tr w:rsidR="00B11CB5" w:rsidRPr="00F866F9" w:rsidTr="00F866F9">
        <w:tc>
          <w:tcPr>
            <w:tcW w:w="8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lastRenderedPageBreak/>
              <w:t>2016-2017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525651</w:t>
            </w:r>
          </w:p>
        </w:tc>
        <w:tc>
          <w:tcPr>
            <w:tcW w:w="11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321596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105550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216046 </w:t>
            </w:r>
          </w:p>
        </w:tc>
        <w:tc>
          <w:tcPr>
            <w:tcW w:w="13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204055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97468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106587 </w:t>
            </w:r>
          </w:p>
        </w:tc>
      </w:tr>
      <w:tr w:rsidR="00B11CB5" w:rsidRPr="00F866F9" w:rsidTr="00F866F9">
        <w:tc>
          <w:tcPr>
            <w:tcW w:w="8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>2015-2016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525422 </w:t>
            </w:r>
          </w:p>
        </w:tc>
        <w:tc>
          <w:tcPr>
            <w:tcW w:w="11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348708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49000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299708</w:t>
            </w:r>
          </w:p>
        </w:tc>
        <w:tc>
          <w:tcPr>
            <w:tcW w:w="13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176714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132487 </w:t>
            </w:r>
          </w:p>
        </w:tc>
        <w:tc>
          <w:tcPr>
            <w:tcW w:w="1200" w:type="dxa"/>
            <w:hideMark/>
          </w:tcPr>
          <w:p w:rsidR="00B11CB5" w:rsidRPr="00F866F9" w:rsidRDefault="00B11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866F9">
              <w:rPr>
                <w:b/>
                <w:lang w:eastAsia="en-US"/>
              </w:rPr>
              <w:t xml:space="preserve"> 44227</w:t>
            </w:r>
          </w:p>
        </w:tc>
      </w:tr>
    </w:tbl>
    <w:p w:rsidR="00B11CB5" w:rsidRPr="00113B60" w:rsidRDefault="00B11CB5" w:rsidP="00113B60">
      <w:pPr>
        <w:ind w:firstLine="709"/>
        <w:contextualSpacing/>
        <w:jc w:val="both"/>
        <w:rPr>
          <w:sz w:val="28"/>
          <w:szCs w:val="28"/>
        </w:rPr>
      </w:pPr>
      <w:r w:rsidRPr="00113B60">
        <w:rPr>
          <w:sz w:val="28"/>
          <w:szCs w:val="28"/>
        </w:rPr>
        <w:t>70 семьям оказано помощи в денежной и натуральной форме на общую сумму 282 100  рублей, в том числе:   7 семьям, воспитывающим 7 дете</w:t>
      </w:r>
      <w:proofErr w:type="gramStart"/>
      <w:r w:rsidRPr="00113B60">
        <w:rPr>
          <w:sz w:val="28"/>
          <w:szCs w:val="28"/>
        </w:rPr>
        <w:t>й-</w:t>
      </w:r>
      <w:proofErr w:type="gramEnd"/>
      <w:r w:rsidRPr="00113B60">
        <w:rPr>
          <w:sz w:val="28"/>
          <w:szCs w:val="28"/>
        </w:rPr>
        <w:t xml:space="preserve"> инвалидов    на общую сумму  40200 рублей; 17 многодетным  семьям  - на общую сумму 31000 рублей. Денежная помощь направлялась  на лечение детей и  приобретение лекарств, продуктов питания, одежды, на погашение задолженности по оплате за детский сад, на приобретение дров,  на питание детей в школе. Натуральная помощь была оказана семьям в виде дров, одежды, обуви, продуктов питания. </w:t>
      </w:r>
    </w:p>
    <w:p w:rsidR="00B11CB5" w:rsidRPr="00113B60" w:rsidRDefault="00B11CB5" w:rsidP="00113B60">
      <w:pPr>
        <w:ind w:firstLine="709"/>
        <w:contextualSpacing/>
        <w:jc w:val="both"/>
        <w:rPr>
          <w:rFonts w:ascii="Calibri" w:hAnsi="Calibri"/>
          <w:i/>
          <w:color w:val="7030A0"/>
          <w:sz w:val="28"/>
          <w:szCs w:val="28"/>
          <w:lang w:eastAsia="en-US"/>
        </w:rPr>
      </w:pPr>
      <w:r w:rsidRPr="00113B60">
        <w:rPr>
          <w:sz w:val="28"/>
          <w:szCs w:val="28"/>
        </w:rPr>
        <w:t xml:space="preserve">Часть собранных средств – 44 900 рублей    по желанию самих трудовых коллективов организаций, учреждений района была направлена на проведение  детских новогодних елок, рождественских елок,  других праздничных  новогодних мероприятий для жителей муниципального района. </w:t>
      </w:r>
    </w:p>
    <w:p w:rsidR="00B11CB5" w:rsidRPr="00113B60" w:rsidRDefault="00B11CB5" w:rsidP="00113B60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13B60">
        <w:rPr>
          <w:sz w:val="28"/>
          <w:szCs w:val="28"/>
        </w:rPr>
        <w:t>В  благотворительном марафоне «Рождественский подарок»  приняли участие 25 организаций района и индивидуальных предпринимателей,  работники  42  трудовых коллектива предприятий, учреждений, организаций района. 97  частных лиц района сделали свой вклад в фонд благотворительной акции  в денежной и натуральной форме.                                     01 февраля 2017 года на заседании организационного комитета были подведены итоги благотворительной акции, распределены денежные средства, поступившие в фонд марафона после проведения благотворительного</w:t>
      </w:r>
      <w:proofErr w:type="gramEnd"/>
      <w:r w:rsidRPr="00113B60">
        <w:rPr>
          <w:sz w:val="28"/>
          <w:szCs w:val="28"/>
        </w:rPr>
        <w:t xml:space="preserve"> концерта.</w:t>
      </w:r>
    </w:p>
    <w:p w:rsidR="00B11CB5" w:rsidRPr="00113B60" w:rsidRDefault="00B11CB5" w:rsidP="00113B60">
      <w:pPr>
        <w:ind w:firstLine="709"/>
        <w:contextualSpacing/>
        <w:jc w:val="both"/>
        <w:rPr>
          <w:sz w:val="28"/>
          <w:szCs w:val="28"/>
        </w:rPr>
      </w:pPr>
      <w:r w:rsidRPr="00113B60">
        <w:rPr>
          <w:sz w:val="28"/>
          <w:szCs w:val="28"/>
        </w:rPr>
        <w:t xml:space="preserve">Ход проведения благотворительного марафона «Рождественский подарок» активно освещался в районной газете «Вперед».    </w:t>
      </w:r>
    </w:p>
    <w:p w:rsidR="001E01AC" w:rsidRDefault="00294BEC"/>
    <w:sectPr w:rsidR="001E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B5"/>
    <w:rsid w:val="00113B60"/>
    <w:rsid w:val="00294BEC"/>
    <w:rsid w:val="005D2267"/>
    <w:rsid w:val="00B11CB5"/>
    <w:rsid w:val="00F866F9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11CB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6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11CB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6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 Ирина Владимировна</cp:lastModifiedBy>
  <cp:revision>4</cp:revision>
  <cp:lastPrinted>2017-03-31T10:24:00Z</cp:lastPrinted>
  <dcterms:created xsi:type="dcterms:W3CDTF">2017-03-16T10:12:00Z</dcterms:created>
  <dcterms:modified xsi:type="dcterms:W3CDTF">2017-03-31T10:24:00Z</dcterms:modified>
</cp:coreProperties>
</file>